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138" w:before="138" w:line="360" w:lineRule="auto"/>
        <w:ind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Уведомление</w:t>
      </w:r>
      <w:r>
        <w:rPr>
          <w:b/>
          <w:bCs/>
          <w:sz w:val="28"/>
          <w:szCs w:val="28"/>
        </w:rPr>
      </w:r>
    </w:p>
    <w:p>
      <w:pPr>
        <w:pBdr/>
        <w:spacing/>
        <w:ind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 xml:space="preserve">Администрация П</w:t>
      </w:r>
      <w:r>
        <w:rPr>
          <w:bCs/>
          <w:sz w:val="26"/>
          <w:szCs w:val="26"/>
        </w:rPr>
        <w:t xml:space="preserve">р</w:t>
      </w:r>
      <w:r>
        <w:rPr>
          <w:bCs/>
          <w:sz w:val="26"/>
          <w:szCs w:val="26"/>
        </w:rPr>
        <w:t xml:space="preserve">яжинского национального муниципального района  уведомляет о проведении публичных консультаций в целях </w:t>
      </w:r>
      <w:r>
        <w:rPr>
          <w:bCs/>
          <w:sz w:val="26"/>
          <w:szCs w:val="26"/>
          <w:lang w:val="undefined"/>
        </w:rPr>
        <w:t xml:space="preserve">проведения оценки регулирующего воздействия (ОРВ) проекта </w:t>
      </w:r>
      <w:r>
        <w:rPr>
          <w:bCs/>
          <w:sz w:val="26"/>
          <w:szCs w:val="26"/>
        </w:rPr>
        <w:t xml:space="preserve">нормативного акта</w:t>
      </w:r>
      <w:r>
        <w:rPr>
          <w:bCs/>
          <w:sz w:val="26"/>
          <w:szCs w:val="26"/>
        </w:rPr>
        <w:t xml:space="preserve">.</w:t>
      </w:r>
      <w:r>
        <w:rPr>
          <w:bCs/>
          <w:sz w:val="26"/>
          <w:szCs w:val="26"/>
        </w:rPr>
      </w:r>
    </w:p>
    <w:p>
      <w:pPr>
        <w:pBdr/>
        <w:spacing/>
        <w:ind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Акт:</w:t>
      </w:r>
      <w:r>
        <w:rPr>
          <w:sz w:val="26"/>
          <w:szCs w:val="26"/>
        </w:rPr>
        <w:t xml:space="preserve"> </w:t>
      </w:r>
      <w:bookmarkStart w:id="0" w:name="_Hlk241842127"/>
      <w:r>
        <w:rPr>
          <w:sz w:val="26"/>
          <w:szCs w:val="26"/>
          <w:lang w:val="undefined"/>
        </w:rPr>
        <w:t xml:space="preserve">проект </w:t>
      </w:r>
      <w:r>
        <w:rPr>
          <w:sz w:val="26"/>
          <w:szCs w:val="26"/>
        </w:rPr>
        <w:t xml:space="preserve">постановление администрации Пряжинского национального муниципального района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 индексации предельной розничной цены на твёрдое топливо, топливо печное бытовое, реализуемое гражданам, упр</w:t>
      </w:r>
      <w:r>
        <w:rPr>
          <w:sz w:val="28"/>
          <w:szCs w:val="28"/>
        </w:rPr>
        <w:t xml:space="preserve">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в Пряжинском национальном муниципальном районе</w:t>
      </w:r>
      <w:r>
        <w:rPr>
          <w:sz w:val="28"/>
          <w:szCs w:val="28"/>
        </w:rPr>
        <w:t xml:space="preserve">» на период с 1 января 2027 года по 31 декабря 2027 года.</w:t>
      </w:r>
      <w:bookmarkEnd w:id="0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Bdr/>
        <w:spacing/>
        <w:ind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 xml:space="preserve">Разработчик акта</w:t>
      </w:r>
      <w:r>
        <w:rPr>
          <w:sz w:val="26"/>
          <w:szCs w:val="26"/>
        </w:rPr>
        <w:t xml:space="preserve">: администрация </w:t>
      </w:r>
      <w:r>
        <w:rPr>
          <w:bCs/>
          <w:sz w:val="26"/>
          <w:szCs w:val="26"/>
        </w:rPr>
        <w:t xml:space="preserve">Пряжинского национального муниципального района.</w:t>
      </w:r>
      <w:r>
        <w:rPr>
          <w:bCs/>
          <w:sz w:val="26"/>
          <w:szCs w:val="26"/>
        </w:rPr>
      </w:r>
    </w:p>
    <w:p>
      <w:pPr>
        <w:pBdr/>
        <w:spacing/>
        <w:ind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Bdr/>
        <w:spacing/>
        <w:ind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 проведения публичных консультаций: </w:t>
      </w:r>
      <w:r>
        <w:rPr>
          <w:bCs/>
          <w:sz w:val="26"/>
          <w:szCs w:val="26"/>
        </w:rPr>
        <w:t xml:space="preserve">0</w:t>
      </w:r>
      <w:r>
        <w:rPr>
          <w:bCs/>
          <w:sz w:val="26"/>
          <w:szCs w:val="26"/>
        </w:rPr>
        <w:t xml:space="preserve">2</w:t>
      </w:r>
      <w:r>
        <w:rPr>
          <w:bCs/>
          <w:sz w:val="26"/>
          <w:szCs w:val="26"/>
        </w:rPr>
        <w:t xml:space="preserve">.</w:t>
      </w:r>
      <w:r>
        <w:rPr>
          <w:bCs/>
          <w:sz w:val="26"/>
          <w:szCs w:val="26"/>
        </w:rPr>
        <w:t xml:space="preserve">10</w:t>
      </w:r>
      <w:r>
        <w:rPr>
          <w:bCs/>
          <w:sz w:val="26"/>
          <w:szCs w:val="26"/>
        </w:rPr>
        <w:t xml:space="preserve">.202</w:t>
      </w:r>
      <w:r>
        <w:rPr>
          <w:bCs/>
          <w:sz w:val="26"/>
          <w:szCs w:val="26"/>
        </w:rPr>
        <w:t xml:space="preserve">6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15</w:t>
      </w:r>
      <w:r>
        <w:rPr>
          <w:bCs/>
          <w:sz w:val="26"/>
          <w:szCs w:val="26"/>
        </w:rPr>
        <w:t xml:space="preserve">.</w:t>
      </w:r>
      <w:r>
        <w:rPr>
          <w:bCs/>
          <w:sz w:val="26"/>
          <w:szCs w:val="26"/>
        </w:rPr>
        <w:t xml:space="preserve">10</w:t>
      </w:r>
      <w:r>
        <w:rPr>
          <w:bCs/>
          <w:sz w:val="26"/>
          <w:szCs w:val="26"/>
        </w:rPr>
        <w:t xml:space="preserve">.202</w:t>
      </w:r>
      <w:r>
        <w:rPr>
          <w:bCs/>
          <w:sz w:val="26"/>
          <w:szCs w:val="26"/>
        </w:rPr>
        <w:t xml:space="preserve">6</w:t>
      </w:r>
      <w:r>
        <w:rPr>
          <w:bCs/>
          <w:sz w:val="26"/>
          <w:szCs w:val="26"/>
        </w:rPr>
        <w:t xml:space="preserve"> года.</w:t>
      </w:r>
      <w:r>
        <w:rPr>
          <w:bCs/>
          <w:sz w:val="26"/>
          <w:szCs w:val="26"/>
        </w:rPr>
      </w:r>
    </w:p>
    <w:p>
      <w:pPr>
        <w:pBdr/>
        <w:spacing/>
        <w:ind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Bdr/>
        <w:spacing/>
        <w:ind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Способ направления ответов: </w:t>
      </w:r>
      <w:r>
        <w:rPr>
          <w:bCs/>
          <w:sz w:val="26"/>
          <w:szCs w:val="26"/>
        </w:rPr>
        <w:t xml:space="preserve">Направление по электронной почте на адрес</w:t>
      </w:r>
      <w:r>
        <w:rPr>
          <w:bCs/>
          <w:sz w:val="26"/>
          <w:szCs w:val="26"/>
        </w:rPr>
        <w:t xml:space="preserve"> </w:t>
      </w:r>
      <w:hyperlink r:id="rId10" w:tooltip="mailto:otdekonomika@mail.ru" w:history="1">
        <w:r>
          <w:rPr>
            <w:rStyle w:val="667"/>
            <w:bCs/>
            <w:sz w:val="26"/>
            <w:szCs w:val="26"/>
          </w:rPr>
          <w:t xml:space="preserve">otdekonomika@mail.ru</w:t>
        </w:r>
      </w:hyperlink>
      <w:r>
        <w:rPr>
          <w:bCs/>
          <w:sz w:val="26"/>
          <w:szCs w:val="26"/>
        </w:rPr>
        <w:t xml:space="preserve"> в виде прикрепленного файла, составленного (заполненного) по прилагаемой форме.</w:t>
      </w:r>
      <w:r>
        <w:rPr>
          <w:bCs/>
          <w:sz w:val="26"/>
          <w:szCs w:val="26"/>
        </w:rPr>
      </w:r>
    </w:p>
    <w:p>
      <w:pPr>
        <w:pBdr/>
        <w:spacing/>
        <w:ind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Bdr/>
        <w:spacing/>
        <w:ind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Место размещения нормативного правого акта, перечня вопросов для участников публичных консультаций и настоящего уведомления в информационно-телекоммуникационной сети Интернет</w:t>
      </w:r>
      <w:r>
        <w:rPr>
          <w:bCs/>
          <w:sz w:val="26"/>
          <w:szCs w:val="26"/>
        </w:rPr>
        <w:t xml:space="preserve">: Официальный интернет – портал администрации Пряжинского национального муниципального района – раздел «Экономика» - «Оценка регулирующего воздействия» - «Экспертиза НПА», по ссылке</w:t>
      </w:r>
      <w:r>
        <w:rPr>
          <w:bCs/>
          <w:sz w:val="26"/>
          <w:szCs w:val="26"/>
        </w:rPr>
        <w:t xml:space="preserve"> </w:t>
      </w:r>
      <w:r>
        <w:rPr>
          <w:color w:val="2c2d2e"/>
          <w:sz w:val="26"/>
          <w:szCs w:val="26"/>
          <w:shd w:val="clear" w:color="auto" w:fill="ffffff"/>
        </w:rPr>
        <w:t xml:space="preserve"> </w:t>
      </w:r>
      <w:hyperlink r:id="rId11" w:tooltip="http://pryazha.org/dejatel-nost/ekonomika/ocenka-regulirujucshego-vozdejstvija/ekspertiza-normativno-pravovyh-aktov/" w:history="1">
        <w:r>
          <w:rPr>
            <w:rStyle w:val="667"/>
            <w:sz w:val="26"/>
            <w:szCs w:val="26"/>
            <w:shd w:val="clear" w:color="auto" w:fill="ffffff"/>
          </w:rPr>
          <w:t xml:space="preserve">http://pryazha.org/dejatel-nost/ekonomika/ocenka-regulirujucshego-vozdejstvija/ekspertiza-normativno-pravovyh-aktov/</w:t>
        </w:r>
      </w:hyperlink>
      <w:r>
        <w:rPr>
          <w:color w:val="2c2d2e"/>
          <w:sz w:val="26"/>
          <w:szCs w:val="26"/>
          <w:shd w:val="clear" w:color="auto" w:fill="ffffff"/>
        </w:rPr>
        <w:t xml:space="preserve">  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</w:r>
    </w:p>
    <w:p>
      <w:pPr>
        <w:pBdr/>
        <w:spacing/>
        <w:ind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Bdr/>
        <w:spacing/>
        <w:ind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Контактное лицо по вопросам заполнения формы запроса и его отправки: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Жигалкина</w:t>
      </w:r>
      <w:r>
        <w:rPr>
          <w:bCs/>
          <w:sz w:val="26"/>
          <w:szCs w:val="26"/>
        </w:rPr>
        <w:t xml:space="preserve"> Наталья </w:t>
      </w:r>
      <w:bookmarkStart w:id="1" w:name="_GoBack"/>
      <w:r/>
      <w:bookmarkEnd w:id="1"/>
      <w:r>
        <w:rPr>
          <w:bCs/>
          <w:sz w:val="26"/>
          <w:szCs w:val="26"/>
        </w:rPr>
        <w:t xml:space="preserve">Петровна,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контактный телефон: (81456)3-</w:t>
      </w:r>
      <w:r>
        <w:rPr>
          <w:bCs/>
          <w:sz w:val="26"/>
          <w:szCs w:val="26"/>
        </w:rPr>
        <w:t xml:space="preserve">10</w:t>
      </w:r>
      <w:r>
        <w:rPr>
          <w:bCs/>
          <w:sz w:val="26"/>
          <w:szCs w:val="26"/>
        </w:rPr>
        <w:t xml:space="preserve">-</w:t>
      </w:r>
      <w:r>
        <w:rPr>
          <w:bCs/>
          <w:sz w:val="26"/>
          <w:szCs w:val="26"/>
        </w:rPr>
        <w:t xml:space="preserve">95</w:t>
      </w:r>
      <w:r>
        <w:rPr>
          <w:bCs/>
          <w:sz w:val="26"/>
          <w:szCs w:val="26"/>
        </w:rPr>
        <w:t xml:space="preserve">.</w:t>
      </w:r>
      <w:r>
        <w:rPr>
          <w:bCs/>
          <w:sz w:val="26"/>
          <w:szCs w:val="26"/>
        </w:rPr>
      </w:r>
    </w:p>
    <w:p>
      <w:pPr>
        <w:pBdr/>
        <w:spacing/>
        <w:ind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Bdr/>
        <w:spacing/>
        <w:ind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Все поступившие предложения будут рассмотрены. Заключение об экспертизе действующего нормативного правого акта будет размещено на официальном интернет – портале а</w:t>
      </w:r>
      <w:r>
        <w:rPr>
          <w:sz w:val="26"/>
          <w:szCs w:val="26"/>
        </w:rPr>
        <w:t xml:space="preserve">дминистрация </w:t>
      </w:r>
      <w:r>
        <w:rPr>
          <w:bCs/>
          <w:sz w:val="26"/>
          <w:szCs w:val="26"/>
        </w:rPr>
        <w:t xml:space="preserve">Пряжинского национального муниципального района.</w:t>
      </w:r>
      <w:r>
        <w:rPr>
          <w:bCs/>
          <w:sz w:val="26"/>
          <w:szCs w:val="26"/>
        </w:rPr>
      </w:r>
    </w:p>
    <w:p>
      <w:pPr>
        <w:pBdr/>
        <w:spacing/>
        <w:ind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Прилагаемые документы:</w:t>
      </w:r>
      <w:r>
        <w:rPr>
          <w:b/>
          <w:bCs/>
          <w:sz w:val="26"/>
          <w:szCs w:val="26"/>
        </w:rPr>
      </w:r>
    </w:p>
    <w:p>
      <w:pPr>
        <w:pBdr/>
        <w:spacing/>
        <w:ind/>
        <w:jc w:val="both"/>
        <w:rPr>
          <w:sz w:val="28"/>
          <w:szCs w:val="28"/>
        </w:rPr>
      </w:pPr>
      <w:r>
        <w:rPr>
          <w:bCs/>
          <w:sz w:val="26"/>
          <w:szCs w:val="26"/>
        </w:rPr>
        <w:t xml:space="preserve">- </w:t>
      </w:r>
      <w:r>
        <w:rPr>
          <w:sz w:val="26"/>
          <w:szCs w:val="26"/>
          <w:lang w:val="undefined"/>
        </w:rPr>
        <w:t xml:space="preserve">проект </w:t>
      </w:r>
      <w:r>
        <w:rPr>
          <w:sz w:val="26"/>
          <w:szCs w:val="26"/>
        </w:rPr>
        <w:t xml:space="preserve">постановлени</w:t>
      </w:r>
      <w:r>
        <w:rPr>
          <w:sz w:val="26"/>
          <w:szCs w:val="26"/>
          <w:lang w:val="undefined"/>
        </w:rPr>
        <w:t xml:space="preserve">я</w:t>
      </w:r>
      <w:r>
        <w:rPr>
          <w:sz w:val="26"/>
          <w:szCs w:val="26"/>
        </w:rPr>
        <w:t xml:space="preserve"> администрации Пряжинского национального муниципального района </w:t>
      </w:r>
      <w:r>
        <w:rPr>
          <w:sz w:val="28"/>
          <w:szCs w:val="28"/>
        </w:rPr>
        <w:t xml:space="preserve">«Об индексации предельной розничной цены на твёрдое топливо, топливо печное бытовое, реализ</w:t>
      </w:r>
      <w:r>
        <w:rPr>
          <w:sz w:val="28"/>
          <w:szCs w:val="28"/>
        </w:rPr>
        <w:t xml:space="preserve">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в Пряжинском национальном </w:t>
      </w:r>
      <w:r>
        <w:rPr>
          <w:sz w:val="28"/>
          <w:szCs w:val="28"/>
        </w:rPr>
        <w:t xml:space="preserve">муниципальном районе» на период с 1 января 2027 года по 31 декабря 2027 года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</w:r>
    </w:p>
    <w:p>
      <w:pPr>
        <w:pBdr/>
        <w:spacing/>
        <w:ind/>
        <w:jc w:val="right"/>
        <w:rPr>
          <w:sz w:val="26"/>
          <w:szCs w:val="26"/>
        </w:rPr>
      </w:pPr>
      <w:r>
        <w:rPr>
          <w:sz w:val="28"/>
          <w:szCs w:val="28"/>
        </w:rPr>
        <w:t xml:space="preserve">с Приложением №1</w:t>
      </w:r>
      <w:r>
        <w:rPr>
          <w:sz w:val="26"/>
          <w:szCs w:val="26"/>
        </w:rPr>
      </w:r>
      <w:r/>
    </w:p>
    <w:p>
      <w:pPr>
        <w:pBdr/>
        <w:spacing/>
        <w:ind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-  п</w:t>
      </w:r>
      <w:r>
        <w:rPr>
          <w:sz w:val="26"/>
          <w:szCs w:val="26"/>
        </w:rPr>
        <w:t xml:space="preserve">еречень вопросов в рамках проведения публичных консультаций.</w:t>
      </w:r>
      <w:r>
        <w:rPr>
          <w:sz w:val="26"/>
          <w:szCs w:val="26"/>
        </w:rPr>
      </w:r>
    </w:p>
    <w:p>
      <w:pPr>
        <w:pBdr/>
        <w:spacing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Bdr/>
        <w:spacing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Bdr/>
        <w:spacing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Bdr/>
        <w:spacing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Bdr/>
        <w:spacing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94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</w:tblBorders>
        <w:tblLook w:val="01E0" w:firstRow="1" w:lastRow="1" w:firstColumn="1" w:lastColumn="1" w:noHBand="0" w:noVBand="0"/>
      </w:tblPr>
      <w:tblGrid>
        <w:gridCol w:w="9473"/>
      </w:tblGrid>
      <w:tr>
        <w:trPr>
          <w:trHeight w:val="1180"/>
        </w:trPr>
        <w:tc>
          <w:tcPr>
            <w:shd w:val="clear" w:color="auto" w:fill="auto"/>
            <w:tcBorders/>
            <w:tcW w:w="9473" w:type="dxa"/>
            <w:textDirection w:val="lrTb"/>
            <w:noWrap w:val="false"/>
          </w:tcPr>
          <w:p>
            <w:pPr>
              <w:pBdr>
                <w:bottom w:val="single" w:color="000000" w:sz="12" w:space="1"/>
              </w:pBdr>
              <w:spacing/>
              <w:ind w:firstLine="540"/>
              <w:jc w:val="center"/>
              <w:rPr>
                <w:b/>
              </w:rPr>
            </w:pPr>
            <w:r>
              <w:rPr>
                <w:b/>
                <w:sz w:val="26"/>
                <w:szCs w:val="26"/>
              </w:rPr>
              <w:t xml:space="preserve">ПЕРЕЧЕНЬ ВОПРОСОВ</w:t>
            </w:r>
            <w:r>
              <w:rPr>
                <w:b/>
              </w:rPr>
            </w:r>
          </w:p>
          <w:p>
            <w:pPr>
              <w:pBdr>
                <w:bottom w:val="single" w:color="000000" w:sz="12" w:space="1"/>
              </w:pBdr>
              <w:spacing/>
              <w:ind w:firstLine="540"/>
              <w:jc w:val="center"/>
              <w:rPr>
                <w:b/>
              </w:rPr>
            </w:pPr>
            <w:r>
              <w:rPr>
                <w:b/>
                <w:sz w:val="26"/>
                <w:szCs w:val="26"/>
              </w:rPr>
              <w:t xml:space="preserve">В РАМКАХ ПРОВЕДЕНИЯ ПУБЛИЧНЫХ КОНСУЛЬТАЦИЙ</w:t>
            </w:r>
            <w:r>
              <w:rPr>
                <w:b/>
              </w:rPr>
            </w:r>
          </w:p>
          <w:p>
            <w:pPr>
              <w:pBdr/>
              <w:spacing/>
              <w:ind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undefined"/>
              </w:rPr>
              <w:t xml:space="preserve">Проект </w:t>
            </w:r>
            <w:r>
              <w:rPr>
                <w:sz w:val="26"/>
                <w:szCs w:val="26"/>
              </w:rPr>
              <w:t xml:space="preserve">постановлени</w:t>
            </w:r>
            <w:r>
              <w:rPr>
                <w:sz w:val="26"/>
                <w:szCs w:val="26"/>
                <w:lang w:val="undefined"/>
              </w:rPr>
              <w:t xml:space="preserve">я</w:t>
            </w:r>
            <w:r>
              <w:rPr>
                <w:sz w:val="26"/>
                <w:szCs w:val="26"/>
              </w:rPr>
              <w:t xml:space="preserve"> администрации Пряжинского национального муниципального района </w:t>
            </w:r>
            <w:r>
              <w:rPr>
                <w:sz w:val="28"/>
                <w:szCs w:val="28"/>
              </w:rPr>
              <w:t xml:space="preserve">«Об индексации предельной розничной цены на твёрдое топливо, топливо печное бытовое, реализуемое гражданам, управляющим организациям, товариществам собственников жилья</w:t>
            </w:r>
            <w:r>
              <w:rPr>
                <w:sz w:val="28"/>
                <w:szCs w:val="28"/>
              </w:rPr>
              <w:t xml:space="preserve">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в Пряжинском национальном муниципальном районе» на период с 1 января 2027 года по 31 декабря 2027 года</w:t>
            </w:r>
            <w:r>
              <w:rPr>
                <w:sz w:val="28"/>
                <w:szCs w:val="28"/>
              </w:rPr>
              <w:t xml:space="preserve"> с Приложением №1</w:t>
            </w:r>
            <w:r>
              <w:rPr>
                <w:sz w:val="26"/>
                <w:szCs w:val="26"/>
              </w:rPr>
            </w:r>
          </w:p>
          <w:p>
            <w:pPr>
              <w:pBdr/>
              <w:spacing/>
              <w:ind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</w:r>
            <w:r>
              <w:rPr>
                <w:color w:val="000000"/>
                <w:shd w:val="clear" w:color="auto" w:fill="ffffff"/>
              </w:rPr>
            </w:r>
          </w:p>
          <w:p>
            <w:pPr>
              <w:pBdr/>
              <w:spacing/>
              <w:ind/>
              <w:jc w:val="both"/>
              <w:rPr/>
            </w:pPr>
            <w:r>
              <w:rPr>
                <w:sz w:val="26"/>
                <w:szCs w:val="26"/>
              </w:rPr>
              <w:t xml:space="preserve">Пожалуйста, заполните и направьте данную форму по электронной почте на адрес</w:t>
            </w:r>
            <w:r>
              <w:rPr>
                <w:sz w:val="26"/>
                <w:szCs w:val="26"/>
              </w:rPr>
              <w:t xml:space="preserve"> </w:t>
            </w:r>
            <w:hyperlink r:id="rId12" w:tooltip="mailto:otdekonomika@mail.ru" w:history="1">
              <w:r>
                <w:rPr>
                  <w:rStyle w:val="667"/>
                  <w:bCs/>
                  <w:sz w:val="26"/>
                  <w:szCs w:val="26"/>
                </w:rPr>
                <w:t xml:space="preserve">otdekonomika@mail.ru</w:t>
              </w:r>
            </w:hyperlink>
            <w:r>
              <w:rPr>
                <w:sz w:val="26"/>
                <w:szCs w:val="26"/>
              </w:rPr>
              <w:t xml:space="preserve"> не позднее </w:t>
            </w:r>
            <w:r>
              <w:rPr>
                <w:b/>
                <w:sz w:val="26"/>
                <w:szCs w:val="26"/>
              </w:rPr>
              <w:t xml:space="preserve">15</w:t>
            </w:r>
            <w:r>
              <w:rPr>
                <w:b/>
                <w:sz w:val="26"/>
                <w:szCs w:val="26"/>
              </w:rPr>
              <w:t xml:space="preserve">.</w:t>
            </w:r>
            <w:r>
              <w:rPr>
                <w:b/>
                <w:sz w:val="26"/>
                <w:szCs w:val="26"/>
              </w:rPr>
              <w:t xml:space="preserve">10</w:t>
            </w:r>
            <w:r>
              <w:rPr>
                <w:b/>
                <w:sz w:val="26"/>
                <w:szCs w:val="26"/>
              </w:rPr>
              <w:t xml:space="preserve">.</w:t>
            </w:r>
            <w:r>
              <w:rPr>
                <w:b/>
                <w:sz w:val="26"/>
                <w:szCs w:val="26"/>
              </w:rPr>
              <w:t xml:space="preserve">202</w:t>
            </w:r>
            <w:r>
              <w:rPr>
                <w:b/>
                <w:sz w:val="26"/>
                <w:szCs w:val="26"/>
              </w:rPr>
              <w:t xml:space="preserve">6</w:t>
            </w:r>
            <w:r>
              <w:rPr>
                <w:b/>
                <w:sz w:val="26"/>
                <w:szCs w:val="26"/>
              </w:rPr>
              <w:t xml:space="preserve"> года</w:t>
            </w:r>
            <w:r>
              <w:rPr>
                <w:sz w:val="26"/>
                <w:szCs w:val="26"/>
              </w:rPr>
              <w:t xml:space="preserve">. </w:t>
            </w:r>
            <w:r/>
          </w:p>
        </w:tc>
      </w:tr>
    </w:tbl>
    <w:p>
      <w:pPr>
        <w:pBdr>
          <w:top w:val="single" w:color="000000" w:sz="4" w:space="1"/>
          <w:left w:val="single" w:color="000000" w:sz="4" w:space="4"/>
          <w:bottom w:val="single" w:color="000000" w:sz="4" w:space="0"/>
          <w:right w:val="single" w:color="000000" w:sz="4" w:space="0"/>
        </w:pBdr>
        <w:spacing/>
        <w:ind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Контактная информация</w:t>
      </w:r>
      <w:r>
        <w:rPr>
          <w:b/>
          <w:sz w:val="26"/>
          <w:szCs w:val="26"/>
        </w:rPr>
      </w:r>
    </w:p>
    <w:p>
      <w:pPr>
        <w:pBdr>
          <w:top w:val="single" w:color="000000" w:sz="4" w:space="1"/>
          <w:left w:val="single" w:color="000000" w:sz="4" w:space="4"/>
          <w:bottom w:val="single" w:color="000000" w:sz="4" w:space="0"/>
          <w:right w:val="single" w:color="000000" w:sz="4" w:space="0"/>
        </w:pBdr>
        <w:spacing/>
        <w:ind/>
        <w:rPr>
          <w:sz w:val="26"/>
          <w:szCs w:val="26"/>
        </w:rPr>
      </w:pPr>
      <w:r>
        <w:rPr>
          <w:sz w:val="26"/>
          <w:szCs w:val="26"/>
        </w:rPr>
        <w:t xml:space="preserve">По Вашему желанию укажите:</w:t>
      </w:r>
      <w:r>
        <w:rPr>
          <w:sz w:val="26"/>
          <w:szCs w:val="26"/>
        </w:rPr>
      </w:r>
    </w:p>
    <w:p>
      <w:pPr>
        <w:pBdr>
          <w:top w:val="single" w:color="000000" w:sz="4" w:space="1"/>
          <w:left w:val="single" w:color="000000" w:sz="4" w:space="4"/>
          <w:bottom w:val="single" w:color="000000" w:sz="4" w:space="0"/>
          <w:right w:val="single" w:color="000000" w:sz="4" w:space="0"/>
        </w:pBdr>
        <w:spacing/>
        <w:ind/>
        <w:rPr>
          <w:sz w:val="26"/>
          <w:szCs w:val="26"/>
        </w:rPr>
      </w:pPr>
      <w:r>
        <w:rPr>
          <w:sz w:val="26"/>
          <w:szCs w:val="26"/>
        </w:rPr>
        <w:t xml:space="preserve">Название организации</w:t>
      </w:r>
      <w:r>
        <w:rPr>
          <w:sz w:val="26"/>
          <w:szCs w:val="26"/>
        </w:rPr>
      </w:r>
    </w:p>
    <w:p>
      <w:pPr>
        <w:pBdr>
          <w:top w:val="single" w:color="000000" w:sz="4" w:space="1"/>
          <w:left w:val="single" w:color="000000" w:sz="4" w:space="4"/>
          <w:bottom w:val="single" w:color="000000" w:sz="4" w:space="0"/>
          <w:right w:val="single" w:color="000000" w:sz="4" w:space="0"/>
        </w:pBdr>
        <w:spacing/>
        <w:ind/>
        <w:rPr>
          <w:sz w:val="26"/>
          <w:szCs w:val="26"/>
        </w:rPr>
      </w:pPr>
      <w:r>
        <w:rPr>
          <w:sz w:val="26"/>
          <w:szCs w:val="26"/>
        </w:rPr>
        <w:t xml:space="preserve">Сферу деятельности организации</w:t>
      </w:r>
      <w:r>
        <w:rPr>
          <w:sz w:val="26"/>
          <w:szCs w:val="26"/>
        </w:rPr>
      </w:r>
    </w:p>
    <w:p>
      <w:pPr>
        <w:pBdr>
          <w:top w:val="single" w:color="000000" w:sz="4" w:space="1"/>
          <w:left w:val="single" w:color="000000" w:sz="4" w:space="4"/>
          <w:bottom w:val="single" w:color="000000" w:sz="4" w:space="0"/>
          <w:right w:val="single" w:color="000000" w:sz="4" w:space="0"/>
        </w:pBdr>
        <w:spacing/>
        <w:ind/>
        <w:rPr>
          <w:sz w:val="26"/>
          <w:szCs w:val="26"/>
        </w:rPr>
      </w:pPr>
      <w:r>
        <w:rPr>
          <w:sz w:val="26"/>
          <w:szCs w:val="26"/>
        </w:rPr>
        <w:t xml:space="preserve">Ф.И.О. контактного лица</w:t>
      </w:r>
      <w:r>
        <w:rPr>
          <w:sz w:val="26"/>
          <w:szCs w:val="26"/>
        </w:rPr>
        <w:tab/>
        <w:t xml:space="preserve"> и номер телефона</w:t>
      </w:r>
      <w:r>
        <w:rPr>
          <w:sz w:val="26"/>
          <w:szCs w:val="26"/>
        </w:rPr>
      </w:r>
    </w:p>
    <w:p>
      <w:pPr>
        <w:pBdr>
          <w:top w:val="single" w:color="000000" w:sz="4" w:space="1"/>
          <w:left w:val="single" w:color="000000" w:sz="4" w:space="4"/>
          <w:bottom w:val="single" w:color="000000" w:sz="4" w:space="0"/>
          <w:right w:val="single" w:color="000000" w:sz="4" w:space="0"/>
        </w:pBdr>
        <w:spacing/>
        <w:ind/>
        <w:rPr>
          <w:sz w:val="26"/>
          <w:szCs w:val="26"/>
        </w:rPr>
      </w:pPr>
      <w:r>
        <w:rPr>
          <w:sz w:val="26"/>
          <w:szCs w:val="26"/>
        </w:rPr>
        <w:t xml:space="preserve">Адрес электронной почты</w:t>
      </w:r>
      <w:r>
        <w:rPr>
          <w:sz w:val="26"/>
          <w:szCs w:val="26"/>
        </w:rPr>
      </w:r>
    </w:p>
    <w:p>
      <w:pPr>
        <w:pStyle w:val="668"/>
        <w:numPr>
          <w:ilvl w:val="0"/>
          <w:numId w:val="1"/>
        </w:numPr>
        <w:pBdr/>
        <w:tabs>
          <w:tab w:val="num" w:leader="none" w:pos="284"/>
          <w:tab w:val="clear" w:leader="none" w:pos="720"/>
        </w:tabs>
        <w:spacing/>
        <w:ind w:right="-1" w:hanging="284" w:left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 решение какой проблемы, на ваш взгляд, направлено данное государственное регулирование? Актуальна ли данная проблема сегодня?</w:t>
      </w:r>
      <w:r>
        <w:rPr>
          <w:i/>
          <w:sz w:val="28"/>
          <w:szCs w:val="28"/>
        </w:rPr>
      </w:r>
    </w:p>
    <w:tbl>
      <w:tblPr>
        <w:tblW w:w="930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07"/>
      </w:tblGrid>
      <w:tr>
        <w:trPr>
          <w:trHeight w:val="32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307" w:type="dxa"/>
            <w:vAlign w:val="bottom"/>
            <w:textDirection w:val="lrTb"/>
            <w:noWrap w:val="false"/>
          </w:tcPr>
          <w:p>
            <w:pPr>
              <w:pBdr/>
              <w:tabs>
                <w:tab w:val="num" w:leader="none" w:pos="284"/>
              </w:tabs>
              <w:spacing/>
              <w:ind w:right="-1" w:hanging="284" w:left="284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</w:tc>
      </w:tr>
    </w:tbl>
    <w:p>
      <w:pPr>
        <w:pStyle w:val="668"/>
        <w:numPr>
          <w:ilvl w:val="0"/>
          <w:numId w:val="1"/>
        </w:numPr>
        <w:pBdr/>
        <w:tabs>
          <w:tab w:val="num" w:leader="none" w:pos="284"/>
          <w:tab w:val="clear" w:leader="none" w:pos="720"/>
        </w:tabs>
        <w:spacing/>
        <w:ind w:right="-1" w:hanging="284" w:left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Существуют ли в </w:t>
      </w:r>
      <w:r>
        <w:rPr>
          <w:i/>
          <w:sz w:val="28"/>
          <w:szCs w:val="28"/>
        </w:rPr>
        <w:t xml:space="preserve">нормативном правовом акте</w:t>
      </w:r>
      <w:r>
        <w:rPr>
          <w:i/>
          <w:sz w:val="28"/>
          <w:szCs w:val="28"/>
        </w:rPr>
        <w:t xml:space="preserve"> положения, способствующие недопущению, ограничению, устранению конкуренции? Какие негативные последствия они могут вызвать?</w:t>
      </w:r>
      <w:r>
        <w:rPr>
          <w:i/>
          <w:sz w:val="28"/>
          <w:szCs w:val="28"/>
        </w:rPr>
      </w:r>
    </w:p>
    <w:tbl>
      <w:tblPr>
        <w:tblW w:w="930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07"/>
      </w:tblGrid>
      <w:tr>
        <w:trPr>
          <w:trHeight w:val="333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307" w:type="dxa"/>
            <w:vAlign w:val="bottom"/>
            <w:textDirection w:val="lrTb"/>
            <w:noWrap w:val="false"/>
          </w:tcPr>
          <w:p>
            <w:pPr>
              <w:pBdr/>
              <w:tabs>
                <w:tab w:val="num" w:leader="none" w:pos="284"/>
              </w:tabs>
              <w:spacing/>
              <w:ind w:right="-1" w:hanging="284" w:left="284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</w:tc>
      </w:tr>
    </w:tbl>
    <w:p>
      <w:pPr>
        <w:pBdr/>
        <w:tabs>
          <w:tab w:val="num" w:leader="none" w:pos="284"/>
        </w:tabs>
        <w:spacing/>
        <w:ind w:right="-1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3</w:t>
      </w:r>
      <w:r>
        <w:rPr>
          <w:i/>
          <w:sz w:val="28"/>
          <w:szCs w:val="28"/>
        </w:rPr>
        <w:t xml:space="preserve">.</w:t>
      </w:r>
      <w:r>
        <w:rPr>
          <w:i/>
          <w:sz w:val="28"/>
          <w:szCs w:val="28"/>
        </w:rPr>
        <w:tab/>
        <w:t xml:space="preserve">Существуют ли в данном государственном регулировании положения, которые необоснованно затрудняют ведение предпринимательской</w:t>
      </w:r>
      <w:r>
        <w:rPr>
          <w:i/>
          <w:sz w:val="28"/>
          <w:szCs w:val="28"/>
        </w:rPr>
        <w:t xml:space="preserve"> и экономической</w:t>
      </w:r>
      <w:r>
        <w:rPr>
          <w:i/>
          <w:sz w:val="28"/>
          <w:szCs w:val="28"/>
        </w:rPr>
        <w:t xml:space="preserve"> деятельности?</w:t>
      </w:r>
      <w:r>
        <w:rPr>
          <w:i/>
          <w:sz w:val="28"/>
          <w:szCs w:val="28"/>
        </w:rPr>
      </w:r>
    </w:p>
    <w:tbl>
      <w:tblPr>
        <w:tblW w:w="930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07"/>
      </w:tblGrid>
      <w:tr>
        <w:trPr>
          <w:trHeight w:val="333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307" w:type="dxa"/>
            <w:vAlign w:val="bottom"/>
            <w:textDirection w:val="lrTb"/>
            <w:noWrap w:val="false"/>
          </w:tcPr>
          <w:p>
            <w:pPr>
              <w:pBdr/>
              <w:tabs>
                <w:tab w:val="num" w:leader="none" w:pos="284"/>
              </w:tabs>
              <w:spacing/>
              <w:ind w:right="-1" w:hanging="284" w:left="284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</w:tc>
      </w:tr>
    </w:tbl>
    <w:p>
      <w:pPr>
        <w:pBdr/>
        <w:tabs>
          <w:tab w:val="num" w:leader="none" w:pos="284"/>
        </w:tabs>
        <w:spacing/>
        <w:ind w:right="-1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4</w:t>
      </w:r>
      <w:r>
        <w:rPr>
          <w:i/>
          <w:sz w:val="28"/>
          <w:szCs w:val="28"/>
        </w:rPr>
        <w:t xml:space="preserve">. Какие, на ваш взгляд, возникают проблемы и трудности с контролем соблюдения требований и норм, введенных нормативным правовым актом?</w:t>
      </w:r>
      <w:r>
        <w:rPr>
          <w:i/>
          <w:sz w:val="28"/>
          <w:szCs w:val="28"/>
        </w:rPr>
      </w:r>
    </w:p>
    <w:tbl>
      <w:tblPr>
        <w:tblW w:w="930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07"/>
      </w:tblGrid>
      <w:tr>
        <w:trPr>
          <w:trHeight w:val="333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307" w:type="dxa"/>
            <w:vAlign w:val="bottom"/>
            <w:textDirection w:val="lrTb"/>
            <w:noWrap w:val="false"/>
          </w:tcPr>
          <w:p>
            <w:pPr>
              <w:pBdr/>
              <w:tabs>
                <w:tab w:val="num" w:leader="none" w:pos="284"/>
              </w:tabs>
              <w:spacing/>
              <w:ind w:right="-1" w:hanging="284" w:left="284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</w:tc>
      </w:tr>
    </w:tbl>
    <w:p>
      <w:pPr>
        <w:pBdr/>
        <w:spacing/>
        <w:ind w:right="-1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  <w:r>
        <w:rPr>
          <w:i/>
          <w:iCs/>
          <w:sz w:val="28"/>
          <w:szCs w:val="28"/>
        </w:rPr>
      </w:r>
    </w:p>
    <w:p>
      <w:pPr>
        <w:pBdr/>
        <w:tabs>
          <w:tab w:val="num" w:leader="none" w:pos="284"/>
        </w:tabs>
        <w:spacing/>
        <w:ind w:right="-1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5</w:t>
      </w:r>
      <w:r>
        <w:rPr>
          <w:i/>
          <w:sz w:val="28"/>
          <w:szCs w:val="28"/>
        </w:rPr>
        <w:t xml:space="preserve">. Какие существуют риски и негативные последствия в результате данного правового регулирования?</w:t>
      </w:r>
      <w:r>
        <w:rPr>
          <w:i/>
          <w:sz w:val="28"/>
          <w:szCs w:val="28"/>
        </w:rPr>
      </w:r>
    </w:p>
    <w:tbl>
      <w:tblPr>
        <w:tblW w:w="930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07"/>
      </w:tblGrid>
      <w:tr>
        <w:trPr>
          <w:trHeight w:val="30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307" w:type="dxa"/>
            <w:vAlign w:val="bottom"/>
            <w:textDirection w:val="lrTb"/>
            <w:noWrap w:val="false"/>
          </w:tcPr>
          <w:p>
            <w:pPr>
              <w:pBdr/>
              <w:tabs>
                <w:tab w:val="num" w:leader="none" w:pos="284"/>
              </w:tabs>
              <w:spacing/>
              <w:ind w:right="-1" w:hanging="284" w:left="284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</w:tc>
      </w:tr>
    </w:tbl>
    <w:p>
      <w:pPr>
        <w:pBdr/>
        <w:spacing/>
        <w:ind w:right="-1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6</w:t>
      </w:r>
      <w:r>
        <w:rPr>
          <w:i/>
          <w:sz w:val="28"/>
          <w:szCs w:val="28"/>
        </w:rPr>
        <w:t xml:space="preserve">. Какие существуют выгоды и преимущества в результате данного правового регулирования?</w:t>
      </w:r>
      <w:r>
        <w:rPr>
          <w:i/>
          <w:sz w:val="28"/>
          <w:szCs w:val="28"/>
        </w:rPr>
      </w:r>
    </w:p>
    <w:tbl>
      <w:tblPr>
        <w:tblW w:w="930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07"/>
      </w:tblGrid>
      <w:tr>
        <w:trPr>
          <w:trHeight w:val="278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307" w:type="dxa"/>
            <w:vAlign w:val="bottom"/>
            <w:textDirection w:val="lrTb"/>
            <w:noWrap w:val="false"/>
          </w:tcPr>
          <w:p>
            <w:pPr>
              <w:pBdr/>
              <w:tabs>
                <w:tab w:val="num" w:leader="none" w:pos="284"/>
              </w:tabs>
              <w:spacing/>
              <w:ind w:right="-1" w:hanging="284" w:left="284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</w:tc>
      </w:tr>
    </w:tbl>
    <w:p>
      <w:pPr>
        <w:pBdr/>
        <w:spacing/>
        <w:ind w:right="-1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7</w:t>
      </w:r>
      <w:r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</w:rPr>
        <w:t xml:space="preserve">Устанавливается ли постановлением необоснованное ограничение выбора субъектов предпринимательской деятельности?</w:t>
      </w:r>
      <w:r>
        <w:rPr>
          <w:i/>
          <w:sz w:val="28"/>
          <w:szCs w:val="28"/>
        </w:rPr>
      </w:r>
    </w:p>
    <w:tbl>
      <w:tblPr>
        <w:tblW w:w="930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07"/>
      </w:tblGrid>
      <w:tr>
        <w:trPr>
          <w:trHeight w:val="25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307" w:type="dxa"/>
            <w:vAlign w:val="bottom"/>
            <w:textDirection w:val="lrTb"/>
            <w:noWrap w:val="false"/>
          </w:tcPr>
          <w:p>
            <w:pPr>
              <w:pBdr/>
              <w:tabs>
                <w:tab w:val="num" w:leader="none" w:pos="284"/>
              </w:tabs>
              <w:spacing/>
              <w:ind w:right="-1" w:hanging="284" w:left="284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</w:tc>
      </w:tr>
    </w:tbl>
    <w:p>
      <w:pPr>
        <w:pBdr/>
        <w:spacing/>
        <w:ind w:right="-1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8</w:t>
      </w:r>
      <w:r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</w:rPr>
        <w:t xml:space="preserve">Оцените издержки субъектов предпринимательской деятельности, возникающие при введении предлагаемого регулирования. Если возможно, оцените затраты по выполнению вновь вводимых требований.</w:t>
      </w:r>
      <w:r>
        <w:rPr>
          <w:i/>
          <w:sz w:val="28"/>
          <w:szCs w:val="28"/>
        </w:rPr>
      </w:r>
    </w:p>
    <w:tbl>
      <w:tblPr>
        <w:tblW w:w="930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07"/>
      </w:tblGrid>
      <w:tr>
        <w:trPr>
          <w:trHeight w:val="25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307" w:type="dxa"/>
            <w:vAlign w:val="bottom"/>
            <w:textDirection w:val="lrTb"/>
            <w:noWrap w:val="false"/>
          </w:tcPr>
          <w:p>
            <w:pPr>
              <w:pBdr/>
              <w:tabs>
                <w:tab w:val="num" w:leader="none" w:pos="284"/>
              </w:tabs>
              <w:spacing/>
              <w:ind w:right="-1" w:hanging="284" w:left="284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</w:tc>
      </w:tr>
      <w:tr>
        <w:trPr>
          <w:trHeight w:val="25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307" w:type="dxa"/>
            <w:vAlign w:val="bottom"/>
            <w:textDirection w:val="lrTb"/>
            <w:noWrap w:val="false"/>
          </w:tcPr>
          <w:p>
            <w:pPr>
              <w:pBdr/>
              <w:tabs>
                <w:tab w:val="num" w:leader="none" w:pos="284"/>
              </w:tabs>
              <w:spacing/>
              <w:ind w:right="-1" w:hanging="284" w:left="284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9</w:t>
            </w:r>
            <w:r>
              <w:rPr>
                <w:i/>
                <w:sz w:val="28"/>
                <w:szCs w:val="28"/>
              </w:rPr>
              <w:t xml:space="preserve">. Ваши предложения по внесению изменений в данное постановление, если в них есть необходимость.</w:t>
            </w:r>
            <w:r>
              <w:rPr>
                <w:i/>
                <w:sz w:val="28"/>
                <w:szCs w:val="28"/>
              </w:rPr>
            </w:r>
          </w:p>
        </w:tc>
      </w:tr>
    </w:tbl>
    <w:p>
      <w:pPr>
        <w:pBdr/>
        <w:spacing w:after="138" w:before="138"/>
        <w:ind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h="16838" w:orient="portrait" w:w="11906"/>
      <w:pgMar w:top="851" w:right="850" w:bottom="851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hint="default"/>
        <w:i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sz w:val="26"/>
        <w:szCs w:val="26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4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2"/>
    <w:next w:val="662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2"/>
    <w:next w:val="662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2"/>
    <w:next w:val="66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2"/>
    <w:next w:val="662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2"/>
    <w:next w:val="66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2"/>
    <w:next w:val="662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2"/>
    <w:next w:val="66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2"/>
    <w:next w:val="662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2"/>
    <w:next w:val="662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9">
    <w:name w:val="Heading 1 Char"/>
    <w:basedOn w:val="663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6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6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63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63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63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63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63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6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2"/>
    <w:next w:val="662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663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2"/>
    <w:next w:val="662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663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2"/>
    <w:next w:val="662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663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66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2"/>
    <w:next w:val="662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663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66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662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66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63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63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6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6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2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663"/>
    <w:link w:val="175"/>
    <w:uiPriority w:val="99"/>
    <w:pPr>
      <w:pBdr/>
      <w:spacing/>
      <w:ind/>
    </w:pPr>
  </w:style>
  <w:style w:type="paragraph" w:styleId="177">
    <w:name w:val="Footer"/>
    <w:basedOn w:val="662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663"/>
    <w:link w:val="177"/>
    <w:uiPriority w:val="99"/>
    <w:pPr>
      <w:pBdr/>
      <w:spacing/>
      <w:ind/>
    </w:pPr>
  </w:style>
  <w:style w:type="paragraph" w:styleId="179">
    <w:name w:val="Caption"/>
    <w:basedOn w:val="662"/>
    <w:next w:val="66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2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63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63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2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63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63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FollowedHyperlink"/>
    <w:basedOn w:val="66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2"/>
    <w:next w:val="662"/>
    <w:uiPriority w:val="39"/>
    <w:unhideWhenUsed/>
    <w:pPr>
      <w:pBdr/>
      <w:spacing w:after="100"/>
      <w:ind/>
    </w:pPr>
  </w:style>
  <w:style w:type="paragraph" w:styleId="189">
    <w:name w:val="toc 2"/>
    <w:basedOn w:val="662"/>
    <w:next w:val="662"/>
    <w:uiPriority w:val="39"/>
    <w:unhideWhenUsed/>
    <w:pPr>
      <w:pBdr/>
      <w:spacing w:after="100"/>
      <w:ind w:left="220"/>
    </w:pPr>
  </w:style>
  <w:style w:type="paragraph" w:styleId="190">
    <w:name w:val="toc 3"/>
    <w:basedOn w:val="662"/>
    <w:next w:val="662"/>
    <w:uiPriority w:val="39"/>
    <w:unhideWhenUsed/>
    <w:pPr>
      <w:pBdr/>
      <w:spacing w:after="100"/>
      <w:ind w:left="440"/>
    </w:pPr>
  </w:style>
  <w:style w:type="paragraph" w:styleId="191">
    <w:name w:val="toc 4"/>
    <w:basedOn w:val="662"/>
    <w:next w:val="662"/>
    <w:uiPriority w:val="39"/>
    <w:unhideWhenUsed/>
    <w:pPr>
      <w:pBdr/>
      <w:spacing w:after="100"/>
      <w:ind w:left="660"/>
    </w:pPr>
  </w:style>
  <w:style w:type="paragraph" w:styleId="192">
    <w:name w:val="toc 5"/>
    <w:basedOn w:val="662"/>
    <w:next w:val="662"/>
    <w:uiPriority w:val="39"/>
    <w:unhideWhenUsed/>
    <w:pPr>
      <w:pBdr/>
      <w:spacing w:after="100"/>
      <w:ind w:left="880"/>
    </w:pPr>
  </w:style>
  <w:style w:type="paragraph" w:styleId="193">
    <w:name w:val="toc 6"/>
    <w:basedOn w:val="662"/>
    <w:next w:val="662"/>
    <w:uiPriority w:val="39"/>
    <w:unhideWhenUsed/>
    <w:pPr>
      <w:pBdr/>
      <w:spacing w:after="100"/>
      <w:ind w:left="1100"/>
    </w:pPr>
  </w:style>
  <w:style w:type="paragraph" w:styleId="194">
    <w:name w:val="toc 7"/>
    <w:basedOn w:val="662"/>
    <w:next w:val="662"/>
    <w:uiPriority w:val="39"/>
    <w:unhideWhenUsed/>
    <w:pPr>
      <w:pBdr/>
      <w:spacing w:after="100"/>
      <w:ind w:left="1320"/>
    </w:pPr>
  </w:style>
  <w:style w:type="paragraph" w:styleId="195">
    <w:name w:val="toc 8"/>
    <w:basedOn w:val="662"/>
    <w:next w:val="662"/>
    <w:uiPriority w:val="39"/>
    <w:unhideWhenUsed/>
    <w:pPr>
      <w:pBdr/>
      <w:spacing w:after="100"/>
      <w:ind w:left="1540"/>
    </w:pPr>
  </w:style>
  <w:style w:type="paragraph" w:styleId="196">
    <w:name w:val="toc 9"/>
    <w:basedOn w:val="662"/>
    <w:next w:val="662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2"/>
    <w:next w:val="662"/>
    <w:uiPriority w:val="99"/>
    <w:unhideWhenUsed/>
    <w:pPr>
      <w:pBdr/>
      <w:spacing w:after="0" w:afterAutospacing="0"/>
      <w:ind/>
    </w:pPr>
  </w:style>
  <w:style w:type="paragraph" w:styleId="662" w:default="1">
    <w:name w:val="Normal"/>
    <w:qFormat/>
    <w:pPr>
      <w:pBdr/>
      <w:spacing w:after="0" w:line="240" w:lineRule="auto"/>
      <w:ind/>
    </w:pPr>
    <w:rPr>
      <w:rFonts w:eastAsia="Times New Roman"/>
      <w:sz w:val="24"/>
      <w:szCs w:val="24"/>
      <w:lang w:eastAsia="ru-RU"/>
    </w:rPr>
  </w:style>
  <w:style w:type="character" w:styleId="663" w:default="1">
    <w:name w:val="Default Paragraph Font"/>
    <w:uiPriority w:val="1"/>
    <w:semiHidden/>
    <w:unhideWhenUsed/>
    <w:pPr>
      <w:pBdr/>
      <w:spacing/>
      <w:ind/>
    </w:pPr>
  </w:style>
  <w:style w:type="table" w:styleId="66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5" w:default="1">
    <w:name w:val="No List"/>
    <w:uiPriority w:val="99"/>
    <w:semiHidden/>
    <w:unhideWhenUsed/>
    <w:pPr>
      <w:pBdr/>
      <w:spacing/>
      <w:ind/>
    </w:pPr>
  </w:style>
  <w:style w:type="paragraph" w:styleId="666" w:customStyle="1">
    <w:name w:val="ConsPlusCell"/>
    <w:pPr>
      <w:widowControl w:val="false"/>
      <w:pBdr/>
      <w:spacing w:after="0" w:line="240" w:lineRule="auto"/>
      <w:ind/>
    </w:pPr>
    <w:rPr>
      <w:rFonts w:ascii="Arial" w:hAnsi="Arial" w:eastAsia="Times New Roman" w:cs="Arial"/>
      <w:sz w:val="20"/>
      <w:szCs w:val="20"/>
      <w:lang w:eastAsia="ru-RU"/>
    </w:rPr>
  </w:style>
  <w:style w:type="character" w:styleId="667">
    <w:name w:val="Hyperlink"/>
    <w:pPr>
      <w:pBdr/>
      <w:spacing/>
      <w:ind/>
    </w:pPr>
    <w:rPr>
      <w:color w:val="0000ff"/>
      <w:u w:val="single"/>
    </w:rPr>
  </w:style>
  <w:style w:type="paragraph" w:styleId="668">
    <w:name w:val="List Paragraph"/>
    <w:basedOn w:val="662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mailto:otdekonomika@mail.ru" TargetMode="External"/><Relationship Id="rId11" Type="http://schemas.openxmlformats.org/officeDocument/2006/relationships/hyperlink" Target="http://pryazha.org/dejatel-nost/ekonomika/ocenka-regulirujucshego-vozdejstvija/ekspertiza-normativno-pravovyh-aktov/" TargetMode="External"/><Relationship Id="rId12" Type="http://schemas.openxmlformats.org/officeDocument/2006/relationships/hyperlink" Target="mailto:otdekonomika@mai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C2977E-A439-410D-B732-5B2E95AE0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ONLYOFFICE/8.3.1.25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Plotko</dc:creator>
  <cp:keywords/>
  <dc:description/>
  <cp:revision>24</cp:revision>
  <dcterms:created xsi:type="dcterms:W3CDTF">2024-05-31T07:04:00Z</dcterms:created>
  <dcterms:modified xsi:type="dcterms:W3CDTF">2026-10-02T11:26:31Z</dcterms:modified>
</cp:coreProperties>
</file>