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FB" w:rsidRDefault="00E63FFB" w:rsidP="00E63FFB">
      <w:pPr>
        <w:pStyle w:val="1"/>
        <w:rPr>
          <w:color w:val="000000" w:themeColor="text1"/>
        </w:rPr>
      </w:pPr>
      <w:bookmarkStart w:id="0" w:name="_Toc94621063"/>
      <w:r>
        <w:rPr>
          <w:color w:val="000000" w:themeColor="text1"/>
        </w:rPr>
        <w:t>ПРОЕКТ</w:t>
      </w:r>
    </w:p>
    <w:p w:rsidR="00E63FFB" w:rsidRDefault="00E63FFB" w:rsidP="00E63FFB">
      <w:pPr>
        <w:pStyle w:val="1"/>
        <w:rPr>
          <w:color w:val="000000" w:themeColor="text1"/>
        </w:rPr>
      </w:pPr>
      <w:r>
        <w:rPr>
          <w:color w:val="000000" w:themeColor="text1"/>
        </w:rPr>
        <w:t>Паспорт муниципальной программы</w:t>
      </w:r>
      <w:bookmarkEnd w:id="0"/>
    </w:p>
    <w:p w:rsidR="00E63FFB" w:rsidRDefault="00E63FFB" w:rsidP="00E63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b/>
          <w:color w:val="000000"/>
          <w:sz w:val="26"/>
          <w:szCs w:val="26"/>
        </w:rPr>
        <w:t>Обеспечение устойчивого функционирования и развития коммунальной и инженерной инфраструктуры</w:t>
      </w:r>
      <w:r>
        <w:rPr>
          <w:b/>
          <w:sz w:val="26"/>
          <w:szCs w:val="26"/>
        </w:rPr>
        <w:t xml:space="preserve"> и </w:t>
      </w:r>
      <w:proofErr w:type="spellStart"/>
      <w:r>
        <w:rPr>
          <w:b/>
          <w:sz w:val="26"/>
          <w:szCs w:val="26"/>
        </w:rPr>
        <w:t>энергоэффективности</w:t>
      </w:r>
      <w:proofErr w:type="spellEnd"/>
      <w:r>
        <w:rPr>
          <w:b/>
          <w:sz w:val="26"/>
          <w:szCs w:val="26"/>
        </w:rPr>
        <w:t xml:space="preserve"> на территории Пряжинского национального муниципального района</w:t>
      </w:r>
      <w:r>
        <w:rPr>
          <w:b/>
          <w:sz w:val="28"/>
          <w:szCs w:val="28"/>
        </w:rPr>
        <w:t>»</w:t>
      </w:r>
    </w:p>
    <w:p w:rsidR="00E63FFB" w:rsidRDefault="00E63FFB" w:rsidP="00E63FFB"/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1"/>
        <w:gridCol w:w="6639"/>
      </w:tblGrid>
      <w:tr w:rsidR="00E63FFB" w:rsidTr="00E63FFB">
        <w:trPr>
          <w:trHeight w:val="472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9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 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 w:rsidP="001C3C70">
            <w:pPr>
              <w:spacing w:after="240" w:line="90" w:lineRule="atLeast"/>
              <w:ind w:firstLine="305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«Обеспечение устойчивого функционирования и развития коммунальной и инженерной инфраструктуры</w:t>
            </w:r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sz w:val="26"/>
                <w:szCs w:val="26"/>
              </w:rPr>
              <w:t xml:space="preserve"> на территории Пряжинского национального муниципального района</w:t>
            </w:r>
            <w:r>
              <w:rPr>
                <w:color w:val="000000"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(далее - Программа)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ind w:firstLine="3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Пряжинского национального муниципального района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предусмотрено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подпрограмм</w:t>
            </w:r>
          </w:p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pStyle w:val="TableParagraph"/>
              <w:spacing w:line="276" w:lineRule="auto"/>
              <w:ind w:left="74" w:firstLine="351"/>
              <w:jc w:val="both"/>
              <w:rPr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«Чистая вода»</w:t>
            </w:r>
            <w:r>
              <w:rPr>
                <w:spacing w:val="1"/>
                <w:sz w:val="26"/>
                <w:szCs w:val="26"/>
              </w:rPr>
              <w:t>;</w:t>
            </w:r>
          </w:p>
          <w:p w:rsidR="00E63FFB" w:rsidRDefault="00E63FFB">
            <w:pPr>
              <w:pStyle w:val="TableParagraph"/>
              <w:spacing w:line="276" w:lineRule="auto"/>
              <w:ind w:left="74" w:firstLine="3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«Очистка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сточных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вод»;</w:t>
            </w:r>
          </w:p>
          <w:p w:rsidR="00E63FFB" w:rsidRDefault="00E63FFB">
            <w:pPr>
              <w:pStyle w:val="TableParagraph"/>
              <w:spacing w:line="276" w:lineRule="auto"/>
              <w:ind w:left="74" w:right="66" w:firstLine="3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«Создание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условий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обеспечения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качественными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жилищно-коммунальными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услугами»;</w:t>
            </w:r>
          </w:p>
          <w:p w:rsidR="00E63FFB" w:rsidRDefault="00E63FFB">
            <w:pPr>
              <w:spacing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Подпрограмма</w:t>
            </w:r>
            <w:r>
              <w:rPr>
                <w:spacing w:val="3"/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Энергосбережение</w:t>
            </w:r>
            <w:r>
              <w:rPr>
                <w:spacing w:val="5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повышение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энергетической</w:t>
            </w:r>
            <w:r>
              <w:rPr>
                <w:spacing w:val="5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эффективности»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Программа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ind w:left="21"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Основная цель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276" w:lineRule="auto"/>
              <w:ind w:firstLine="3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повышения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надежности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функционирования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систем</w:t>
            </w:r>
            <w:r>
              <w:rPr>
                <w:spacing w:val="3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жизнеобеспечения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населения</w:t>
            </w:r>
            <w:r>
              <w:rPr>
                <w:spacing w:val="3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территории</w:t>
            </w:r>
            <w:r>
              <w:rPr>
                <w:spacing w:val="3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Пряжинского национального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района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3FFB" w:rsidRDefault="00E63FF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Задачи Программы </w:t>
            </w:r>
          </w:p>
          <w:p w:rsidR="00E63FFB" w:rsidRDefault="00E63FFB">
            <w:pPr>
              <w:spacing w:line="105" w:lineRule="atLeas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pStyle w:val="TableParagraph"/>
              <w:spacing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строительство и модернизация (реконструкции) объектов питьевого водоснабжения;</w:t>
            </w:r>
          </w:p>
          <w:p w:rsidR="00E63FFB" w:rsidRDefault="00E63FFB">
            <w:pPr>
              <w:pStyle w:val="TableParagraph"/>
              <w:spacing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строительство и модернизация (реконструкции) объектов водоотведения;</w:t>
            </w:r>
          </w:p>
          <w:p w:rsidR="00E63FFB" w:rsidRDefault="00E63FFB">
            <w:pPr>
              <w:spacing w:line="276" w:lineRule="auto"/>
              <w:ind w:left="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строительству и модернизации (реконструкции) общеобразовательных учреждений.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Этапы и сроки реализации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t xml:space="preserve">    </w:t>
            </w:r>
            <w:r>
              <w:rPr>
                <w:sz w:val="26"/>
                <w:szCs w:val="26"/>
              </w:rPr>
              <w:t>2022-202</w:t>
            </w:r>
            <w:r w:rsidR="001C3C7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годы, </w:t>
            </w:r>
          </w:p>
          <w:p w:rsidR="00E63FFB" w:rsidRDefault="00E63FFB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выделение отдельных этапов Программы не предусматривается, мероприятия реализуются на протяжении всего срока реализации Программы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Финансовое обеспечение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 w:rsidP="001C3C70">
            <w:pPr>
              <w:pStyle w:val="TableParagraph"/>
              <w:spacing w:line="276" w:lineRule="auto"/>
              <w:ind w:left="74" w:hanging="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ресурсного обеспечения Программы на период 2022-202</w:t>
            </w:r>
            <w:r w:rsidR="001C3C7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составляет </w:t>
            </w:r>
            <w:r w:rsidR="001C3C70">
              <w:rPr>
                <w:sz w:val="26"/>
                <w:szCs w:val="26"/>
              </w:rPr>
              <w:t>155 210,6</w:t>
            </w:r>
            <w:r>
              <w:rPr>
                <w:sz w:val="26"/>
                <w:szCs w:val="26"/>
              </w:rPr>
              <w:t xml:space="preserve"> </w:t>
            </w:r>
            <w:r w:rsidR="001C3C70">
              <w:rPr>
                <w:sz w:val="26"/>
                <w:szCs w:val="26"/>
              </w:rPr>
              <w:t xml:space="preserve">тыс. </w:t>
            </w:r>
            <w:r>
              <w:rPr>
                <w:sz w:val="26"/>
                <w:szCs w:val="26"/>
              </w:rPr>
              <w:t>рублей, в том числе:</w:t>
            </w:r>
          </w:p>
          <w:p w:rsidR="00E63FFB" w:rsidRDefault="00E63FFB" w:rsidP="001C3C70">
            <w:pPr>
              <w:pStyle w:val="TableParagraph"/>
              <w:spacing w:line="276" w:lineRule="auto"/>
              <w:ind w:left="74" w:hanging="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0,0 </w:t>
            </w:r>
            <w:r w:rsidR="001C3C70">
              <w:rPr>
                <w:sz w:val="26"/>
                <w:szCs w:val="26"/>
              </w:rPr>
              <w:t xml:space="preserve">тыс. </w:t>
            </w:r>
            <w:r>
              <w:rPr>
                <w:sz w:val="26"/>
                <w:szCs w:val="26"/>
              </w:rPr>
              <w:t>рублей;</w:t>
            </w:r>
          </w:p>
          <w:p w:rsidR="00E63FFB" w:rsidRDefault="00E63FFB" w:rsidP="001C3C70">
            <w:pPr>
              <w:pStyle w:val="TableParagraph"/>
              <w:spacing w:line="276" w:lineRule="auto"/>
              <w:ind w:left="74" w:hanging="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0,0 </w:t>
            </w:r>
            <w:r w:rsidR="001C3C70">
              <w:rPr>
                <w:sz w:val="26"/>
                <w:szCs w:val="26"/>
              </w:rPr>
              <w:t xml:space="preserve">тыс. </w:t>
            </w:r>
            <w:r>
              <w:rPr>
                <w:sz w:val="26"/>
                <w:szCs w:val="26"/>
              </w:rPr>
              <w:t>рублей;</w:t>
            </w:r>
          </w:p>
          <w:p w:rsidR="00E63FFB" w:rsidRDefault="00E63FFB" w:rsidP="001C3C70">
            <w:pPr>
              <w:pStyle w:val="TableParagraph"/>
              <w:spacing w:line="276" w:lineRule="auto"/>
              <w:ind w:left="74" w:hanging="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0,0 </w:t>
            </w:r>
            <w:r w:rsidR="001C3C70">
              <w:rPr>
                <w:sz w:val="26"/>
                <w:szCs w:val="26"/>
              </w:rPr>
              <w:t xml:space="preserve">тыс. </w:t>
            </w:r>
            <w:r>
              <w:rPr>
                <w:sz w:val="26"/>
                <w:szCs w:val="26"/>
              </w:rPr>
              <w:t>рублей;</w:t>
            </w:r>
          </w:p>
          <w:p w:rsidR="00E63FFB" w:rsidRDefault="00E63FFB" w:rsidP="001C3C70">
            <w:pPr>
              <w:pStyle w:val="TableParagraph"/>
              <w:spacing w:line="276" w:lineRule="auto"/>
              <w:ind w:left="74" w:hanging="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1C3C70">
              <w:rPr>
                <w:sz w:val="26"/>
                <w:szCs w:val="26"/>
              </w:rPr>
              <w:t>18 830,7</w:t>
            </w:r>
            <w:r>
              <w:rPr>
                <w:sz w:val="26"/>
                <w:szCs w:val="26"/>
              </w:rPr>
              <w:t xml:space="preserve"> </w:t>
            </w:r>
            <w:r w:rsidR="001C3C70">
              <w:rPr>
                <w:sz w:val="26"/>
                <w:szCs w:val="26"/>
              </w:rPr>
              <w:t xml:space="preserve">тыс. </w:t>
            </w:r>
            <w:r>
              <w:rPr>
                <w:sz w:val="26"/>
                <w:szCs w:val="26"/>
              </w:rPr>
              <w:t>рублей;</w:t>
            </w:r>
          </w:p>
          <w:p w:rsidR="00E63FFB" w:rsidRDefault="00E63FFB" w:rsidP="001C3C70">
            <w:pPr>
              <w:spacing w:line="105" w:lineRule="atLeast"/>
              <w:ind w:left="74" w:hanging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1C3C70">
              <w:rPr>
                <w:sz w:val="26"/>
                <w:szCs w:val="26"/>
              </w:rPr>
              <w:t>99 915,9</w:t>
            </w:r>
            <w:r>
              <w:rPr>
                <w:sz w:val="26"/>
                <w:szCs w:val="26"/>
              </w:rPr>
              <w:t xml:space="preserve"> </w:t>
            </w:r>
            <w:r w:rsidR="001C3C70">
              <w:rPr>
                <w:sz w:val="26"/>
                <w:szCs w:val="26"/>
              </w:rPr>
              <w:t xml:space="preserve">тыс. </w:t>
            </w:r>
            <w:r>
              <w:rPr>
                <w:sz w:val="26"/>
                <w:szCs w:val="26"/>
              </w:rPr>
              <w:t>рублей</w:t>
            </w:r>
            <w:r w:rsidR="001C3C70">
              <w:rPr>
                <w:sz w:val="26"/>
                <w:szCs w:val="26"/>
              </w:rPr>
              <w:t>;</w:t>
            </w:r>
          </w:p>
          <w:p w:rsidR="001C3C70" w:rsidRDefault="001C3C70" w:rsidP="001C3C70">
            <w:pPr>
              <w:spacing w:line="105" w:lineRule="atLeast"/>
              <w:ind w:left="74" w:hanging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15 370,3 тыс. рублей;</w:t>
            </w:r>
          </w:p>
          <w:p w:rsidR="001C3C70" w:rsidRDefault="001C3C70" w:rsidP="001C3C70">
            <w:pPr>
              <w:spacing w:line="105" w:lineRule="atLeast"/>
              <w:ind w:left="74" w:hanging="66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2028 – 21 093,7 тыс. рублей.</w:t>
            </w:r>
          </w:p>
        </w:tc>
      </w:tr>
      <w:tr w:rsidR="00E63FFB" w:rsidTr="00E63FFB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индикаторы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 w:rsidP="001C3C70">
            <w:pPr>
              <w:pStyle w:val="TableParagraph"/>
              <w:spacing w:line="276" w:lineRule="auto"/>
              <w:ind w:left="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надежности и </w:t>
            </w:r>
            <w:proofErr w:type="spellStart"/>
            <w:r>
              <w:rPr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sz w:val="26"/>
                <w:szCs w:val="26"/>
              </w:rPr>
              <w:t xml:space="preserve"> функционирования систем жизнеобеспечения населения на территории Пряжинского национального муниципального района;</w:t>
            </w:r>
          </w:p>
          <w:p w:rsidR="00E63FFB" w:rsidRDefault="00E63FFB" w:rsidP="001C3C70">
            <w:pPr>
              <w:pStyle w:val="TableParagraph"/>
              <w:spacing w:line="276" w:lineRule="auto"/>
              <w:ind w:left="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устойчивости функционирования систем коммунальной инфраструктуры, безаварийное прохождение очередного отопительного сезона, модернизация оборудования и замена ветхих коммунальных сетей;</w:t>
            </w:r>
          </w:p>
          <w:p w:rsidR="00E63FFB" w:rsidRDefault="00E63FFB" w:rsidP="001C3C70">
            <w:pPr>
              <w:pStyle w:val="TableParagraph"/>
              <w:spacing w:line="276" w:lineRule="auto"/>
              <w:ind w:left="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сверхнормативных потерь в инженерных сетях и повышенной аварийности;</w:t>
            </w:r>
          </w:p>
          <w:p w:rsidR="00E63FFB" w:rsidRDefault="00E63FFB" w:rsidP="001C3C70">
            <w:pPr>
              <w:suppressAutoHyphens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улучшение качества оказываемых услуг и экологической ситуации Пряжинского национального муниципального района</w:t>
            </w:r>
          </w:p>
        </w:tc>
      </w:tr>
      <w:tr w:rsidR="00E63FFB" w:rsidTr="00E63FFB">
        <w:trPr>
          <w:trHeight w:val="90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spacing w:line="9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3FFB" w:rsidRDefault="00E63FFB">
            <w:pPr>
              <w:pStyle w:val="TableParagraph"/>
              <w:spacing w:line="276" w:lineRule="auto"/>
              <w:ind w:left="74" w:firstLine="3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увеличение доли населения, обеспеченного доброкачественной питьевой водой из централизованных источников водоснабжения до 94%;</w:t>
            </w:r>
          </w:p>
          <w:p w:rsidR="00E63FFB" w:rsidRDefault="00E63FFB">
            <w:pPr>
              <w:pStyle w:val="TableParagraph"/>
              <w:spacing w:line="276" w:lineRule="auto"/>
              <w:ind w:left="74" w:firstLine="3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созданных и восстановленных ВОС, ВНС и станций водоочистки до 5 единиц;</w:t>
            </w:r>
          </w:p>
          <w:p w:rsidR="00E63FFB" w:rsidRDefault="00E63FFB">
            <w:pPr>
              <w:pStyle w:val="TableParagraph"/>
              <w:spacing w:line="276" w:lineRule="auto"/>
              <w:ind w:left="74" w:firstLine="3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 до 91%;</w:t>
            </w:r>
          </w:p>
          <w:p w:rsidR="00E63FFB" w:rsidRDefault="00E63FFB">
            <w:pPr>
              <w:pStyle w:val="TableParagraph"/>
              <w:spacing w:line="276" w:lineRule="auto"/>
              <w:ind w:left="74" w:firstLine="3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готовности объектов жилищно-коммунального хозяйства к осеннее - зимнему периоду до 100%;</w:t>
            </w:r>
          </w:p>
          <w:p w:rsidR="00E63FFB" w:rsidRDefault="00E63FFB">
            <w:pPr>
              <w:pStyle w:val="TableParagraph"/>
              <w:spacing w:line="276" w:lineRule="auto"/>
              <w:ind w:left="74" w:firstLine="3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до 100%;</w:t>
            </w:r>
          </w:p>
          <w:p w:rsidR="00E63FFB" w:rsidRDefault="00E63FF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доля зданий, строений, сооружений муниципальной собственности, соответствующих нормальному уровню энергетической эффективности и выше (A, B, C, D) до 43%.</w:t>
            </w:r>
            <w:r>
              <w:rPr>
                <w:rFonts w:eastAsia="Calibri"/>
                <w:sz w:val="26"/>
                <w:szCs w:val="26"/>
              </w:rPr>
              <w:t xml:space="preserve">     </w:t>
            </w:r>
          </w:p>
        </w:tc>
      </w:tr>
    </w:tbl>
    <w:p w:rsidR="002648EB" w:rsidRDefault="002648EB"/>
    <w:sectPr w:rsidR="002648EB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FFB"/>
    <w:rsid w:val="001C3C70"/>
    <w:rsid w:val="002648EB"/>
    <w:rsid w:val="003A27D1"/>
    <w:rsid w:val="003B37C1"/>
    <w:rsid w:val="00A4066A"/>
    <w:rsid w:val="00E6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3FF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7D1"/>
    <w:pPr>
      <w:keepNext/>
      <w:widowControl/>
      <w:autoSpaceDE/>
      <w:autoSpaceDN/>
      <w:jc w:val="center"/>
      <w:outlineLvl w:val="0"/>
    </w:pPr>
    <w:rPr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7D1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7D1"/>
    <w:pPr>
      <w:keepNext/>
      <w:widowControl/>
      <w:autoSpaceDE/>
      <w:autoSpaceDN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27D1"/>
    <w:pPr>
      <w:keepNext/>
      <w:widowControl/>
      <w:autoSpaceDE/>
      <w:autoSpaceDN/>
      <w:jc w:val="center"/>
      <w:outlineLvl w:val="3"/>
    </w:pPr>
    <w:rPr>
      <w:b/>
      <w:spacing w:val="6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widowControl/>
      <w:autoSpaceDE/>
      <w:autoSpaceDN/>
      <w:ind w:left="708"/>
      <w:jc w:val="both"/>
    </w:pPr>
    <w:rPr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63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2024-10-28T15:25:00Z</dcterms:created>
  <dcterms:modified xsi:type="dcterms:W3CDTF">2025-11-13T16:18:00Z</dcterms:modified>
</cp:coreProperties>
</file>