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F1" w:rsidRDefault="00D770F1" w:rsidP="00D770F1">
      <w:pPr>
        <w:ind w:left="482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D770F1" w:rsidRDefault="00D770F1" w:rsidP="00D770F1">
      <w:pPr>
        <w:ind w:left="482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Министерства сельского и рыбного хозяйства Республики Карелия</w:t>
      </w:r>
    </w:p>
    <w:p w:rsidR="00D770F1" w:rsidRDefault="00D770F1" w:rsidP="00D770F1">
      <w:pPr>
        <w:ind w:left="482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color w:val="FFFFFF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</w:rPr>
        <w:t>17 июля 2025 года № 224/МСХ-П</w:t>
      </w:r>
    </w:p>
    <w:p w:rsidR="00D770F1" w:rsidRDefault="00D770F1" w:rsidP="00D770F1">
      <w:pPr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tabs>
          <w:tab w:val="left" w:pos="-142"/>
        </w:tabs>
        <w:ind w:left="-567" w:right="140" w:firstLine="425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Положение</w:t>
      </w:r>
    </w:p>
    <w:p w:rsidR="00D770F1" w:rsidRDefault="00D770F1" w:rsidP="00D770F1">
      <w:pPr>
        <w:shd w:val="clear" w:color="auto" w:fill="FFFFFF"/>
        <w:tabs>
          <w:tab w:val="left" w:pos="0"/>
        </w:tabs>
        <w:ind w:right="14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о проведении конкурса «Лучший по профессии» среди пекарей – работников </w:t>
      </w:r>
    </w:p>
    <w:p w:rsidR="00D770F1" w:rsidRDefault="00D770F1" w:rsidP="00D770F1">
      <w:pPr>
        <w:shd w:val="clear" w:color="auto" w:fill="FFFFFF"/>
        <w:tabs>
          <w:tab w:val="left" w:pos="0"/>
        </w:tabs>
        <w:ind w:right="14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предприятий хлебопекарной промышленности Республики Карелия.</w:t>
      </w:r>
    </w:p>
    <w:p w:rsidR="00D770F1" w:rsidRDefault="00D770F1" w:rsidP="00D770F1">
      <w:pPr>
        <w:shd w:val="clear" w:color="auto" w:fill="FFFFFF"/>
        <w:tabs>
          <w:tab w:val="left" w:pos="0"/>
        </w:tabs>
        <w:ind w:right="140" w:firstLine="425"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   Общие положения.</w:t>
      </w:r>
      <w:proofErr w:type="gramEnd"/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Настоящее Положение определяет порядок и условия проведения конкурса «Лучший по профессии» среди пекарей – работников предприятий хлебопекарной промышленности Республики Карелия (далее – Конкурс).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Конкурс направлен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популяризацию профессии пекаря;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оценку уровня и профессионального мастерства;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обмен опытом по применению новых прогрессивных методов и приемов работы;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продвижение продукции местных производителей.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Организаторы, партнеры и участники конкурса.</w:t>
      </w:r>
      <w:proofErr w:type="gramEnd"/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Организаторы конкурса: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Министерство сельского и рыбного хозяйства Республики Карелия (далее - Министерство);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Администрация Сортавальского муниципального округа.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Партнеры конкурса: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Карельское региональное отделение Всероссийской политической Партии «ЕДИНАЯ РОССИЯ».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 участию в Конкурсе допускаются предприятия хлебопекарной промышленности и работники предприятий хлебопекарной промышленности,  осуществляющие производственную деятельность на территории Республики Карелия.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Участники Конкурса: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пекари - работники предприятий хлебопекарной промышленности Республики Карелия (далее - пекари);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индивидуальные предприниматели, предприятия хлебопекарной промышленности Республики Карелия основным видом деятельности которых является хлебопечение (далее - предприятия хлебопекарной промышленности);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>. Организация и проведение конкурсных мероприятий.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Pr="00F07D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Конкурс проводится по номинациям: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пекарь» - среди пекарей. По итогам Конкурса присуждается звание «Лучший пекарь»;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«Лучшее предприятие» среди предприятий хлебопекарной промышленности. По итогам Конкурса присуждаются одно первое, одно второе и одно третье призовые места.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Конкурса: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регистрация участников Конкурса;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жеребьевка: участникам Конкурса присваиваются номера, в соответствии с которыми определяется очередность выполнения заданий Конкурса;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3) выполнение участниками Конкурса задания № 1 «Теоретическое задание - тест», задания № 2 «Я пекарь», задания № 4 «Сделано в Карелии»; конкурсная комиссия выполняет оценку задания № 3 «Домашнее задание»; 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подведение итогов Конкурса. 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Оценивает участников конкурса, сформированная Министерством конкурсная комиссия. Состав конкурсной комиссии утверждается приказом Министерства.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Условия участия в Конкурсе.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Информация о Конкурсе, включая даты и место проведения, а также конкурсная документация размещаются в сети Интернет на официальном сайте Министерства в разделе «Об органе власти», по ссылке https://mcx.gov.karelia.ru/about/.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выдвижение участников Конкурса осуществляется предприятиями хлебопекарной промышленности, в количестве не более 1 участника от каждого хозяйствующего субъекта;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Style w:val="aff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для участия в Конкурсе необходимо подать заявку на участие в Конкурсе (приложение 1 к настоящему Положению) в Министерство по адресу: 185035,                         г. Петрозаводск, ул. Свердлова, д. 8,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 307, контактный телефон: 55-93-02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115 или по адресу электронной почты:</w:t>
      </w:r>
      <w:r>
        <w:rPr>
          <w:rStyle w:val="aff"/>
          <w:rFonts w:ascii="Times New Roman" w:hAnsi="Times New Roman" w:cs="Times New Roman"/>
          <w:sz w:val="26"/>
          <w:szCs w:val="26"/>
        </w:rPr>
        <w:t xml:space="preserve"> </w:t>
      </w:r>
      <w:hyperlink r:id="rId7" w:tooltip="mailto:agro@mcx.gov10.ru" w:history="1">
        <w:r>
          <w:rPr>
            <w:rStyle w:val="aff"/>
            <w:rFonts w:ascii="Times New Roman" w:hAnsi="Times New Roman" w:cs="Times New Roman"/>
            <w:sz w:val="26"/>
            <w:szCs w:val="26"/>
          </w:rPr>
          <w:t>agro@mcx.gov10.ru</w:t>
        </w:r>
      </w:hyperlink>
      <w:r>
        <w:rPr>
          <w:rStyle w:val="aff"/>
          <w:rFonts w:ascii="Times New Roman" w:hAnsi="Times New Roman" w:cs="Times New Roman"/>
          <w:sz w:val="26"/>
          <w:szCs w:val="26"/>
        </w:rPr>
        <w:t>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Style w:val="aff"/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Содержание и условия проведения Конкурса.</w:t>
      </w:r>
      <w:proofErr w:type="gramEnd"/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F07D8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1. Участники Конкурса выполняют следующие задания: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пекари выполняют задание № 1 - «Теоретическое задание - тест», задание                 № 2 «Я пекарь», задание № 3 «Домашнее задание» заранее выпекается для участия в конкурсных мероприятиях;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предприятия хлебопекарной промышленности выполняют задание № 4 «Сделано в Карелии».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Выполнение заданий № 1, № 2 и № 4 проводится на площадке проведения мероприятий Конкурса. Задание № 3 «Домашнее задание» выполняется участниками конкурса, заранее до начала конкурсных мероприятий.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Задание № 1 - «Теоретическое задание – тест» состоит из 2 разделов, 20 вопросов. Участник Конкурса демонстрирует свои знания по следующим направлениям: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физиология питания, санитария и гигиена;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технология приготовления хлеба и хлебобулочных изделий.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выполнения задания 30 минут.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выполнения заданий теоретического теста оценивается по пятибалльной шкале.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 баллов – 15-20 правильных ответов;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4 балла – 10-14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правильных ответов;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 балла – 13-9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правильных ответов;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2 балла – 8-3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правильных ответов;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0 балл – менее 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правильных ответов.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Конкурсное задание № 2 «Я пекарь».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конкурсного задания: представление участником Конкурса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себя как пекаря.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Формат конкурсного задания: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самопрезентация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проводится в форме импровизированного выступления, на котором участник представляет своё предприятие, данные раскрывающие профессиональную компетентность и мастерство, раскрывает преимущества профессии пекарь, а также представляет творческий проект по хлебопечению (готовое хлебобулочное изделие произвольного формата и расфасовки). Очередность выступления участников Конкурса определяется в соответствии с проведенной жеребьевкой. </w:t>
      </w: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Время на демонстрацию задания - до 3 минут. </w:t>
      </w: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Критерии оценки: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раскрытие привлекательности профессии пекаря;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целенаправленность в выборе профессии;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общий интеллектуальный и культурный уровень конкурсанта;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умение представить себя;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индивидуальный стиль. </w:t>
      </w: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Максимальная оценка – 10 баллов.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Задание № 3 «Домашнее задание»: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«Домашнее задание» Конкурса заключается в приготовлении ржано-пшеничного («ГОСТ 31807-2018.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Межгосударственный стандарт. Изделия хлебобулочные из ржаной хлебопекарной и смеси ржаной и пшеничной хлебопекарной муки. Общие технические условия») и булочного изделия (в соответствии с «ГОСТ 27844-88. Межгосударственный стандарт. Изделия булочные. </w:t>
      </w:r>
      <w:proofErr w:type="gramStart"/>
      <w:r>
        <w:rPr>
          <w:rFonts w:ascii="Times New Roman" w:hAnsi="Times New Roman" w:cs="Times New Roman"/>
          <w:sz w:val="26"/>
          <w:szCs w:val="26"/>
        </w:rPr>
        <w:t>Технические условия»:  батон к чаю, батон нарезной, батон подмосковный, городская булка, батон студенческий) в количестве двух штук с дегустационным образцом.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Изделия предоставляется в день проведения Конкурса (участниками готовится заранее с учетом сроков хранения) в прозрачном полиэтиленовом пакете, не позволяющем идентифицировать производителя; к изделию должна быть приложена информация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ГОСТе</w:t>
      </w:r>
      <w:proofErr w:type="spellEnd"/>
      <w:r>
        <w:rPr>
          <w:rFonts w:ascii="Times New Roman" w:hAnsi="Times New Roman" w:cs="Times New Roman"/>
          <w:sz w:val="26"/>
          <w:szCs w:val="26"/>
        </w:rPr>
        <w:t>, ТУ, рецептуре, в соответствии с которыми это изделие было изготовлено.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Изделия передаются конкурсной комиссии, им присваиваются номера, составляется соответствующий протокол. «Домашнее задание» оценивается конкурсной комиссией, критерии оценки - органолептические показатели.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Максимальная оценка – 12 баллов.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Критерии оценки: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внешний вид и оформление изделия - максимально 0-2 балл;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поверхность - 0 - 2 балл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цвет - 0 - 2 балл;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состояние мякиша - максимально 0-2 балла;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пористость - максимально 0-2 балла;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вкус - максимально 0-2 балла.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Конкурсное задание № 4 «Сделано в Карелии». 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Предприятие хлебопекарной промышленности формирует экспозиционный стол с продукцией собственного производства и представляет продукцию конкурсной комиссии. Форму выполнения задания участник выбирает сам (регламент – до 3 минут + 3 мин. на вопросы конкурсной комиссии). </w:t>
      </w: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Критерии оценки: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ассортимент;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использование принципов здорового питания;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уровень оформления экспозиционного стола;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отображение национального компонента;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творческий подход: оригинальность, новизна, сложность, собственный стиль;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продвижение продукции на рынке.</w:t>
      </w: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Максимальная оценка по каждому критерию – до 10 баллов.</w:t>
      </w: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tabs>
          <w:tab w:val="center" w:pos="5031"/>
        </w:tabs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Подведение итогов конкурса.</w:t>
      </w:r>
      <w:proofErr w:type="gramEnd"/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Конкурсная комиссия оценивает выполнение каждого задания и определяет победителей конкурса по заявленным номинациям.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18. Результаты Конкурса подводятся по сумме баллов, выставленных участникам за выполнение всех конкурсных заданий в оценочных протоколах членами конкурсной комиссии.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Победители Конкурса определяются по максимальному количеству баллов, полученных в сумме за выполнение всех заданий.</w:t>
      </w:r>
    </w:p>
    <w:p w:rsidR="00D770F1" w:rsidRDefault="00D770F1" w:rsidP="00D770F1">
      <w:pPr>
        <w:shd w:val="clear" w:color="auto" w:fill="FFFFFF"/>
        <w:ind w:right="140"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При одинаковом количестве баллов у нескольких участников победителем объявляется участник, получивший большее количество баллов за выполнение «Домашнего задания».</w:t>
      </w: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21. Пекарь, получивший звание «Лучший пекарь» и предприятия хлебопекарной промышленности, занявшие первые три места, награждаются дипломами и призам</w:t>
      </w: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D770F1" w:rsidRDefault="00D770F1" w:rsidP="00D770F1">
      <w:pPr>
        <w:tabs>
          <w:tab w:val="left" w:pos="9635"/>
        </w:tabs>
        <w:contextualSpacing/>
        <w:rPr>
          <w:rFonts w:ascii="Times New Roman" w:hAnsi="Times New Roman" w:cs="Times New Roman"/>
        </w:rPr>
      </w:pPr>
    </w:p>
    <w:p w:rsidR="00405A4A" w:rsidRPr="00D770F1" w:rsidRDefault="00405A4A" w:rsidP="00D770F1">
      <w:bookmarkStart w:id="0" w:name="_GoBack"/>
      <w:bookmarkEnd w:id="0"/>
    </w:p>
    <w:sectPr w:rsidR="00405A4A" w:rsidRPr="00D770F1" w:rsidSect="00A55B24">
      <w:headerReference w:type="even" r:id="rId8"/>
      <w:headerReference w:type="default" r:id="rId9"/>
      <w:pgSz w:w="11906" w:h="16838"/>
      <w:pgMar w:top="567" w:right="567" w:bottom="567" w:left="1276" w:header="709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435" w:rsidRDefault="00DD6435">
      <w:r>
        <w:separator/>
      </w:r>
    </w:p>
  </w:endnote>
  <w:endnote w:type="continuationSeparator" w:id="0">
    <w:p w:rsidR="00DD6435" w:rsidRDefault="00DD6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435" w:rsidRDefault="00DD6435">
      <w:r>
        <w:separator/>
      </w:r>
    </w:p>
  </w:footnote>
  <w:footnote w:type="continuationSeparator" w:id="0">
    <w:p w:rsidR="00DD6435" w:rsidRDefault="00DD6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4A" w:rsidRDefault="00A55B24">
    <w:pPr>
      <w:pStyle w:val="af4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 w:rsidR="00D770F1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405A4A" w:rsidRDefault="00405A4A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4A" w:rsidRDefault="00A55B24">
    <w:pPr>
      <w:pStyle w:val="af4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 w:rsidR="00D770F1"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1F4B6C">
      <w:rPr>
        <w:rStyle w:val="aff4"/>
        <w:noProof/>
      </w:rPr>
      <w:t>2</w:t>
    </w:r>
    <w:r>
      <w:rPr>
        <w:rStyle w:val="aff4"/>
      </w:rPr>
      <w:fldChar w:fldCharType="end"/>
    </w:r>
  </w:p>
  <w:p w:rsidR="00405A4A" w:rsidRDefault="00405A4A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23FEE"/>
    <w:multiLevelType w:val="multilevel"/>
    <w:tmpl w:val="A9F239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2160"/>
      </w:pPr>
    </w:lvl>
  </w:abstractNum>
  <w:abstractNum w:abstractNumId="1">
    <w:nsid w:val="493E180D"/>
    <w:multiLevelType w:val="multilevel"/>
    <w:tmpl w:val="A296F87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23" w:hanging="720"/>
      </w:pPr>
      <w:rPr>
        <w:rFonts w:eastAsia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126" w:hanging="720"/>
      </w:pPr>
      <w:rPr>
        <w:rFonts w:eastAsia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89" w:hanging="1080"/>
      </w:pPr>
      <w:rPr>
        <w:rFonts w:eastAsia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892" w:hanging="1080"/>
      </w:pPr>
      <w:rPr>
        <w:rFonts w:eastAsia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455" w:hanging="1440"/>
      </w:pPr>
      <w:rPr>
        <w:rFonts w:eastAsia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18" w:hanging="1800"/>
      </w:pPr>
      <w:rPr>
        <w:rFonts w:eastAsia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21" w:hanging="1800"/>
      </w:pPr>
      <w:rPr>
        <w:rFonts w:eastAsia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784" w:hanging="2160"/>
      </w:pPr>
      <w:rPr>
        <w:rFonts w:eastAsia="Times New Roman"/>
        <w:sz w:val="28"/>
        <w:szCs w:val="28"/>
      </w:rPr>
    </w:lvl>
  </w:abstractNum>
  <w:abstractNum w:abstractNumId="2">
    <w:nsid w:val="53663AB6"/>
    <w:multiLevelType w:val="multilevel"/>
    <w:tmpl w:val="18FA964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23" w:hanging="720"/>
      </w:pPr>
      <w:rPr>
        <w:rFonts w:eastAsia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126" w:hanging="720"/>
      </w:pPr>
      <w:rPr>
        <w:rFonts w:eastAsia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89" w:hanging="1080"/>
      </w:pPr>
      <w:rPr>
        <w:rFonts w:eastAsia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892" w:hanging="1080"/>
      </w:pPr>
      <w:rPr>
        <w:rFonts w:eastAsia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455" w:hanging="1440"/>
      </w:pPr>
      <w:rPr>
        <w:rFonts w:eastAsia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18" w:hanging="1800"/>
      </w:pPr>
      <w:rPr>
        <w:rFonts w:eastAsia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21" w:hanging="1800"/>
      </w:pPr>
      <w:rPr>
        <w:rFonts w:eastAsia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784" w:hanging="2160"/>
      </w:pPr>
      <w:rPr>
        <w:rFonts w:eastAsia="Times New Roman"/>
        <w:sz w:val="28"/>
        <w:szCs w:val="28"/>
      </w:rPr>
    </w:lvl>
  </w:abstractNum>
  <w:abstractNum w:abstractNumId="3">
    <w:nsid w:val="76420818"/>
    <w:multiLevelType w:val="multilevel"/>
    <w:tmpl w:val="8638819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23" w:hanging="720"/>
      </w:pPr>
      <w:rPr>
        <w:rFonts w:eastAsia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126" w:hanging="720"/>
      </w:pPr>
      <w:rPr>
        <w:rFonts w:eastAsia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89" w:hanging="1080"/>
      </w:pPr>
      <w:rPr>
        <w:rFonts w:eastAsia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892" w:hanging="1080"/>
      </w:pPr>
      <w:rPr>
        <w:rFonts w:eastAsia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455" w:hanging="1440"/>
      </w:pPr>
      <w:rPr>
        <w:rFonts w:eastAsia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18" w:hanging="1800"/>
      </w:pPr>
      <w:rPr>
        <w:rFonts w:eastAsia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21" w:hanging="1800"/>
      </w:pPr>
      <w:rPr>
        <w:rFonts w:eastAsia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784" w:hanging="2160"/>
      </w:pPr>
      <w:rPr>
        <w:rFonts w:eastAsia="Times New Roman"/>
        <w:sz w:val="28"/>
        <w:szCs w:val="28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4A"/>
    <w:rsid w:val="001F4B6C"/>
    <w:rsid w:val="00405A4A"/>
    <w:rsid w:val="00A55B24"/>
    <w:rsid w:val="00D770F1"/>
    <w:rsid w:val="00DD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B24"/>
    <w:pPr>
      <w:jc w:val="both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5B24"/>
    <w:pPr>
      <w:keepNext/>
      <w:keepLines/>
      <w:spacing w:before="360" w:after="80"/>
      <w:outlineLvl w:val="0"/>
    </w:pPr>
    <w:rPr>
      <w:rFonts w:eastAsia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55B24"/>
    <w:pPr>
      <w:keepNext/>
      <w:keepLines/>
      <w:spacing w:before="160" w:after="80"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55B24"/>
    <w:pPr>
      <w:keepNext/>
      <w:keepLines/>
      <w:spacing w:before="160" w:after="80"/>
      <w:outlineLvl w:val="2"/>
    </w:pPr>
    <w:rPr>
      <w:rFonts w:eastAsia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55B24"/>
    <w:pPr>
      <w:keepNext/>
      <w:keepLines/>
      <w:spacing w:before="80" w:after="40"/>
      <w:outlineLvl w:val="3"/>
    </w:pPr>
    <w:rPr>
      <w:rFonts w:eastAsia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55B24"/>
    <w:pPr>
      <w:keepNext/>
      <w:keepLines/>
      <w:spacing w:before="80" w:after="40"/>
      <w:outlineLvl w:val="4"/>
    </w:pPr>
    <w:rPr>
      <w:rFonts w:eastAsia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55B24"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A55B24"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A55B24"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A55B24"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B24"/>
    <w:rPr>
      <w:color w:val="666666"/>
    </w:rPr>
  </w:style>
  <w:style w:type="table" w:styleId="a4">
    <w:name w:val="Table Grid"/>
    <w:basedOn w:val="a1"/>
    <w:uiPriority w:val="59"/>
    <w:rsid w:val="00A55B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55B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55B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55B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55B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5B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5B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5B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5B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5B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5B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5B2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5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55B2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5B2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5B2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5B2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5B2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5B2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5B2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5B2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5B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A55B24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55B2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55B2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55B2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55B24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55B24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A55B24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A55B2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A55B24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A55B24"/>
    <w:pPr>
      <w:spacing w:after="80"/>
      <w:contextualSpacing/>
    </w:pPr>
    <w:rPr>
      <w:rFonts w:eastAsia="Arial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55B24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55B24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A55B24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B24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A55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B2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B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A55B2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55B24"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qFormat/>
    <w:rsid w:val="00A55B24"/>
    <w:rPr>
      <w:rFonts w:ascii="Calibri" w:eastAsia="Calibri" w:hAnsi="Calibri"/>
      <w:sz w:val="22"/>
      <w:szCs w:val="22"/>
      <w:lang w:eastAsia="en-US"/>
    </w:rPr>
  </w:style>
  <w:style w:type="character" w:styleId="af">
    <w:name w:val="Subtle Emphasis"/>
    <w:basedOn w:val="a0"/>
    <w:uiPriority w:val="19"/>
    <w:qFormat/>
    <w:rsid w:val="00A55B24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A55B24"/>
    <w:rPr>
      <w:i/>
      <w:iCs/>
    </w:rPr>
  </w:style>
  <w:style w:type="character" w:styleId="af1">
    <w:name w:val="Strong"/>
    <w:qFormat/>
    <w:rsid w:val="00A55B24"/>
    <w:rPr>
      <w:b/>
      <w:bCs/>
    </w:rPr>
  </w:style>
  <w:style w:type="character" w:styleId="af2">
    <w:name w:val="Subtle Reference"/>
    <w:basedOn w:val="a0"/>
    <w:uiPriority w:val="31"/>
    <w:qFormat/>
    <w:rsid w:val="00A55B24"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sid w:val="00A55B24"/>
    <w:rPr>
      <w:b/>
      <w:bCs/>
      <w:i/>
      <w:iCs/>
      <w:spacing w:val="5"/>
    </w:rPr>
  </w:style>
  <w:style w:type="paragraph" w:styleId="af4">
    <w:name w:val="header"/>
    <w:basedOn w:val="a"/>
    <w:link w:val="af5"/>
    <w:rsid w:val="00A55B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55B24"/>
  </w:style>
  <w:style w:type="paragraph" w:styleId="af6">
    <w:name w:val="footer"/>
    <w:basedOn w:val="a"/>
    <w:link w:val="af7"/>
    <w:uiPriority w:val="99"/>
    <w:unhideWhenUsed/>
    <w:rsid w:val="00A55B24"/>
    <w:pPr>
      <w:tabs>
        <w:tab w:val="center" w:pos="4844"/>
        <w:tab w:val="right" w:pos="968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55B24"/>
  </w:style>
  <w:style w:type="paragraph" w:styleId="af8">
    <w:name w:val="caption"/>
    <w:basedOn w:val="a"/>
    <w:next w:val="a"/>
    <w:uiPriority w:val="35"/>
    <w:unhideWhenUsed/>
    <w:qFormat/>
    <w:rsid w:val="00A55B24"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A55B24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5B2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A55B24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A55B2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55B24"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A55B24"/>
    <w:rPr>
      <w:vertAlign w:val="superscript"/>
    </w:rPr>
  </w:style>
  <w:style w:type="character" w:styleId="aff">
    <w:name w:val="Hyperlink"/>
    <w:basedOn w:val="a0"/>
    <w:uiPriority w:val="99"/>
    <w:unhideWhenUsed/>
    <w:rsid w:val="00A55B24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A55B24"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rsid w:val="00A55B24"/>
    <w:pPr>
      <w:spacing w:after="100"/>
    </w:pPr>
  </w:style>
  <w:style w:type="paragraph" w:styleId="23">
    <w:name w:val="toc 2"/>
    <w:basedOn w:val="a"/>
    <w:next w:val="a"/>
    <w:uiPriority w:val="39"/>
    <w:unhideWhenUsed/>
    <w:rsid w:val="00A55B24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A55B24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A55B24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A55B24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A55B24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A55B24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A55B24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A55B24"/>
    <w:pPr>
      <w:spacing w:after="100"/>
      <w:ind w:left="1760"/>
    </w:pPr>
  </w:style>
  <w:style w:type="paragraph" w:styleId="aff1">
    <w:name w:val="TOC Heading"/>
    <w:uiPriority w:val="39"/>
    <w:unhideWhenUsed/>
    <w:rsid w:val="00A55B24"/>
  </w:style>
  <w:style w:type="paragraph" w:styleId="aff2">
    <w:name w:val="table of figures"/>
    <w:basedOn w:val="a"/>
    <w:next w:val="a"/>
    <w:uiPriority w:val="99"/>
    <w:unhideWhenUsed/>
    <w:rsid w:val="00A55B24"/>
  </w:style>
  <w:style w:type="paragraph" w:styleId="aff3">
    <w:name w:val="Body Text Indent"/>
    <w:basedOn w:val="a"/>
    <w:rsid w:val="00A55B24"/>
    <w:pPr>
      <w:spacing w:after="120"/>
      <w:ind w:left="283"/>
    </w:pPr>
  </w:style>
  <w:style w:type="paragraph" w:customStyle="1" w:styleId="12">
    <w:name w:val="Знак Знак1"/>
    <w:basedOn w:val="a"/>
    <w:rsid w:val="00A55B24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A55B24"/>
    <w:pPr>
      <w:widowControl w:val="0"/>
    </w:pPr>
    <w:rPr>
      <w:rFonts w:ascii="Calibri" w:hAnsi="Calibri" w:cs="Calibri"/>
      <w:sz w:val="22"/>
      <w:lang w:eastAsia="ru-RU"/>
    </w:rPr>
  </w:style>
  <w:style w:type="character" w:styleId="aff4">
    <w:name w:val="page number"/>
    <w:basedOn w:val="a0"/>
    <w:rsid w:val="00A55B24"/>
  </w:style>
  <w:style w:type="paragraph" w:styleId="aff5">
    <w:name w:val="Balloon Text"/>
    <w:basedOn w:val="a"/>
    <w:link w:val="aff6"/>
    <w:rsid w:val="00A55B24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sid w:val="00A55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ro@mcx.gov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6966</Characters>
  <Application>Microsoft Office Word</Application>
  <DocSecurity>0</DocSecurity>
  <Lines>58</Lines>
  <Paragraphs>16</Paragraphs>
  <ScaleCrop>false</ScaleCrop>
  <Company>Администрация г. Петрозаводска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ut</dc:creator>
  <cp:lastModifiedBy>comunal</cp:lastModifiedBy>
  <cp:revision>2</cp:revision>
  <dcterms:created xsi:type="dcterms:W3CDTF">2025-07-23T12:24:00Z</dcterms:created>
  <dcterms:modified xsi:type="dcterms:W3CDTF">2025-07-23T12:24:00Z</dcterms:modified>
  <cp:version>917504</cp:version>
</cp:coreProperties>
</file>