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9"/>
      </w:tblGrid>
      <w:tr w:rsidR="003940C1" w:rsidRPr="003940C1" w:rsidTr="003940C1">
        <w:tc>
          <w:tcPr>
            <w:tcW w:w="3219" w:type="dxa"/>
          </w:tcPr>
          <w:p w:rsidR="003940C1" w:rsidRPr="003940C1" w:rsidRDefault="003940C1" w:rsidP="003940C1">
            <w:pPr>
              <w:spacing w:after="24" w:line="259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3940C1">
              <w:rPr>
                <w:color w:val="auto"/>
                <w:sz w:val="24"/>
                <w:szCs w:val="24"/>
              </w:rPr>
              <w:t>Утверждаю</w:t>
            </w:r>
          </w:p>
          <w:p w:rsidR="003940C1" w:rsidRPr="003940C1" w:rsidRDefault="003940C1" w:rsidP="003940C1">
            <w:pPr>
              <w:spacing w:after="24" w:line="259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3940C1">
              <w:rPr>
                <w:color w:val="auto"/>
                <w:sz w:val="24"/>
                <w:szCs w:val="24"/>
              </w:rPr>
              <w:t>Глава администрации</w:t>
            </w:r>
          </w:p>
          <w:p w:rsidR="003940C1" w:rsidRPr="003940C1" w:rsidRDefault="003940C1" w:rsidP="003940C1">
            <w:pPr>
              <w:spacing w:after="24" w:line="259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3940C1">
              <w:rPr>
                <w:color w:val="auto"/>
                <w:sz w:val="24"/>
                <w:szCs w:val="24"/>
              </w:rPr>
              <w:t>Пряжинского национального</w:t>
            </w:r>
          </w:p>
          <w:p w:rsidR="003940C1" w:rsidRPr="003940C1" w:rsidRDefault="00F359F7" w:rsidP="003940C1">
            <w:pPr>
              <w:spacing w:after="24" w:line="259" w:lineRule="auto"/>
              <w:ind w:righ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</w:t>
            </w:r>
            <w:r w:rsidR="003940C1" w:rsidRPr="003940C1">
              <w:rPr>
                <w:color w:val="auto"/>
                <w:sz w:val="24"/>
                <w:szCs w:val="24"/>
              </w:rPr>
              <w:t>униципального района</w:t>
            </w:r>
          </w:p>
          <w:p w:rsidR="003940C1" w:rsidRDefault="00466CB7" w:rsidP="003940C1">
            <w:pPr>
              <w:spacing w:after="24" w:line="259" w:lineRule="auto"/>
              <w:ind w:righ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Д.А. Буевич</w:t>
            </w:r>
          </w:p>
          <w:p w:rsidR="00CC3261" w:rsidRDefault="00CC3261" w:rsidP="003940C1">
            <w:pPr>
              <w:spacing w:after="24" w:line="259" w:lineRule="auto"/>
              <w:ind w:right="0" w:firstLine="0"/>
              <w:rPr>
                <w:color w:val="auto"/>
                <w:sz w:val="24"/>
                <w:szCs w:val="24"/>
              </w:rPr>
            </w:pPr>
          </w:p>
          <w:p w:rsidR="00466CB7" w:rsidRPr="003940C1" w:rsidRDefault="00466CB7" w:rsidP="003940C1">
            <w:pPr>
              <w:spacing w:after="24" w:line="259" w:lineRule="auto"/>
              <w:ind w:right="0" w:firstLine="0"/>
              <w:rPr>
                <w:color w:val="auto"/>
                <w:sz w:val="24"/>
                <w:szCs w:val="24"/>
              </w:rPr>
            </w:pPr>
          </w:p>
          <w:p w:rsidR="003940C1" w:rsidRPr="003940C1" w:rsidRDefault="00B5348F" w:rsidP="003940C1">
            <w:pPr>
              <w:spacing w:after="24" w:line="259" w:lineRule="auto"/>
              <w:ind w:righ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12.02.</w:t>
            </w:r>
            <w:r w:rsidR="003940C1" w:rsidRPr="003940C1">
              <w:rPr>
                <w:color w:val="auto"/>
                <w:sz w:val="24"/>
                <w:szCs w:val="24"/>
              </w:rPr>
              <w:t>202</w:t>
            </w:r>
            <w:r w:rsidR="00882B7A">
              <w:rPr>
                <w:color w:val="auto"/>
                <w:sz w:val="24"/>
                <w:szCs w:val="24"/>
              </w:rPr>
              <w:t>6</w:t>
            </w:r>
            <w:r w:rsidR="003940C1" w:rsidRPr="003940C1">
              <w:rPr>
                <w:color w:val="auto"/>
                <w:sz w:val="24"/>
                <w:szCs w:val="24"/>
              </w:rPr>
              <w:t xml:space="preserve"> года</w:t>
            </w:r>
          </w:p>
        </w:tc>
        <w:bookmarkStart w:id="0" w:name="_GoBack"/>
        <w:bookmarkEnd w:id="0"/>
      </w:tr>
    </w:tbl>
    <w:p w:rsidR="00A30020" w:rsidRPr="003940C1" w:rsidRDefault="00A30020">
      <w:pPr>
        <w:spacing w:after="24" w:line="259" w:lineRule="auto"/>
        <w:ind w:left="4814" w:right="0" w:firstLine="0"/>
        <w:jc w:val="left"/>
        <w:rPr>
          <w:b/>
          <w:color w:val="auto"/>
        </w:rPr>
      </w:pPr>
    </w:p>
    <w:p w:rsidR="003940C1" w:rsidRPr="003940C1" w:rsidRDefault="00A30548">
      <w:pPr>
        <w:spacing w:after="0" w:line="247" w:lineRule="auto"/>
        <w:ind w:right="0" w:firstLine="0"/>
        <w:jc w:val="center"/>
        <w:rPr>
          <w:b/>
          <w:color w:val="auto"/>
          <w:sz w:val="30"/>
        </w:rPr>
      </w:pPr>
      <w:r w:rsidRPr="003940C1">
        <w:rPr>
          <w:b/>
          <w:color w:val="auto"/>
          <w:sz w:val="30"/>
        </w:rPr>
        <w:t xml:space="preserve">Доклад об организации системы внутреннего обеспечения соответствия требованиям антимонопольного законодательства (антимонопольный комплаенс) в Пряжинском национальном муниципальном районе </w:t>
      </w:r>
    </w:p>
    <w:p w:rsidR="00A30020" w:rsidRPr="003940C1" w:rsidRDefault="003940C1" w:rsidP="003940C1">
      <w:pPr>
        <w:spacing w:after="0" w:line="247" w:lineRule="auto"/>
        <w:ind w:right="0" w:firstLine="0"/>
        <w:jc w:val="center"/>
        <w:rPr>
          <w:b/>
          <w:color w:val="auto"/>
        </w:rPr>
      </w:pPr>
      <w:r w:rsidRPr="003940C1">
        <w:rPr>
          <w:b/>
          <w:color w:val="auto"/>
          <w:sz w:val="30"/>
        </w:rPr>
        <w:t>з</w:t>
      </w:r>
      <w:r w:rsidR="00A30548" w:rsidRPr="003940C1">
        <w:rPr>
          <w:b/>
          <w:color w:val="auto"/>
          <w:sz w:val="30"/>
        </w:rPr>
        <w:t>а</w:t>
      </w:r>
      <w:r w:rsidRPr="003940C1">
        <w:rPr>
          <w:b/>
          <w:color w:val="auto"/>
          <w:sz w:val="30"/>
        </w:rPr>
        <w:t xml:space="preserve"> </w:t>
      </w:r>
      <w:r w:rsidR="00A30548" w:rsidRPr="003940C1">
        <w:rPr>
          <w:b/>
          <w:color w:val="auto"/>
        </w:rPr>
        <w:t>202</w:t>
      </w:r>
      <w:r w:rsidR="00882B7A">
        <w:rPr>
          <w:b/>
          <w:color w:val="auto"/>
        </w:rPr>
        <w:t>5</w:t>
      </w:r>
      <w:r w:rsidR="00A30548" w:rsidRPr="003940C1">
        <w:rPr>
          <w:b/>
          <w:color w:val="auto"/>
        </w:rPr>
        <w:t xml:space="preserve"> год</w:t>
      </w:r>
    </w:p>
    <w:p w:rsidR="00A30020" w:rsidRPr="003940C1" w:rsidRDefault="00A30548">
      <w:pPr>
        <w:spacing w:after="0"/>
        <w:ind w:left="9" w:right="101"/>
        <w:rPr>
          <w:color w:val="auto"/>
        </w:rPr>
      </w:pPr>
      <w:r w:rsidRPr="003940C1">
        <w:rPr>
          <w:color w:val="auto"/>
        </w:rPr>
        <w:t xml:space="preserve">В целях реализации Указа Президента Российской Федерации от 21 декабря 2017 года </w:t>
      </w:r>
      <w:r w:rsidR="007626B9" w:rsidRPr="003940C1">
        <w:rPr>
          <w:color w:val="auto"/>
        </w:rPr>
        <w:t>№</w:t>
      </w:r>
      <w:r w:rsidRPr="003940C1">
        <w:rPr>
          <w:color w:val="auto"/>
        </w:rPr>
        <w:t xml:space="preserve"> 618 «Об основных направлениях государственной политики по развитию конкуренции», в соответствии с распоряжением Правительства Российской Федерации от 18 октября 2018 года </w:t>
      </w:r>
      <w:r w:rsidR="007626B9" w:rsidRPr="003940C1">
        <w:rPr>
          <w:color w:val="auto"/>
        </w:rPr>
        <w:t>№</w:t>
      </w:r>
      <w:r w:rsidRPr="003940C1">
        <w:rPr>
          <w:color w:val="auto"/>
        </w:rPr>
        <w:t xml:space="preserve"> 2258-р </w:t>
      </w:r>
      <w:r w:rsidR="007626B9" w:rsidRPr="003940C1">
        <w:rPr>
          <w:color w:val="auto"/>
        </w:rPr>
        <w:t>«Об</w:t>
      </w:r>
      <w:r w:rsidRPr="003940C1">
        <w:rPr>
          <w:color w:val="auto"/>
        </w:rPr>
        <w:t xml:space="preserve">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администрацией Пряжинского национального муниципального района разработаны следующие документы:</w:t>
      </w:r>
    </w:p>
    <w:p w:rsidR="009D0642" w:rsidRPr="00DF2115" w:rsidRDefault="00A30548">
      <w:pPr>
        <w:ind w:left="9" w:right="96"/>
        <w:rPr>
          <w:color w:val="auto"/>
        </w:rPr>
      </w:pPr>
      <w:r w:rsidRPr="003940C1">
        <w:rPr>
          <w:color w:val="auto"/>
        </w:rPr>
        <w:t xml:space="preserve">положение об организации системы внутреннего обеспечения соответствия требованиям антимонопольного законодательства (антимонопольный комплаенс), утвержденное постановлением администрации Пряжинского национального муниципального района </w:t>
      </w:r>
      <w:r w:rsidRPr="00DF2115">
        <w:rPr>
          <w:color w:val="auto"/>
        </w:rPr>
        <w:t xml:space="preserve">от 24 мая 2019 года </w:t>
      </w:r>
      <w:r w:rsidR="007626B9" w:rsidRPr="00DF2115">
        <w:rPr>
          <w:color w:val="auto"/>
        </w:rPr>
        <w:t>№</w:t>
      </w:r>
      <w:r w:rsidRPr="00DF2115">
        <w:rPr>
          <w:color w:val="auto"/>
        </w:rPr>
        <w:t xml:space="preserve"> 281;</w:t>
      </w:r>
    </w:p>
    <w:p w:rsidR="009D0642" w:rsidRPr="00DF2115" w:rsidRDefault="00A30548">
      <w:pPr>
        <w:ind w:left="9" w:right="96"/>
        <w:rPr>
          <w:color w:val="auto"/>
        </w:rPr>
      </w:pPr>
      <w:r w:rsidRPr="00CC3261">
        <w:rPr>
          <w:color w:val="auto"/>
        </w:rPr>
        <w:t>утверж</w:t>
      </w:r>
      <w:r w:rsidRPr="003940C1">
        <w:rPr>
          <w:color w:val="auto"/>
        </w:rPr>
        <w:t xml:space="preserve">ден Перечень ключевых показателей развития конкуренции в Пряжинском национальном муниципальном районе, постановление администрации Пряжинского национального муниципального района от </w:t>
      </w:r>
      <w:r w:rsidR="00CC3261">
        <w:rPr>
          <w:color w:val="auto"/>
        </w:rPr>
        <w:t xml:space="preserve">20 </w:t>
      </w:r>
      <w:r w:rsidR="00CC3261" w:rsidRPr="00DF2115">
        <w:rPr>
          <w:color w:val="auto"/>
        </w:rPr>
        <w:t xml:space="preserve">декабря 2023 </w:t>
      </w:r>
      <w:r w:rsidRPr="00DF2115">
        <w:rPr>
          <w:color w:val="auto"/>
        </w:rPr>
        <w:t xml:space="preserve">года </w:t>
      </w:r>
      <w:r w:rsidR="007626B9" w:rsidRPr="00DF2115">
        <w:rPr>
          <w:color w:val="auto"/>
        </w:rPr>
        <w:t>№</w:t>
      </w:r>
      <w:r w:rsidRPr="00DF2115">
        <w:rPr>
          <w:color w:val="auto"/>
        </w:rPr>
        <w:t xml:space="preserve"> </w:t>
      </w:r>
      <w:r w:rsidR="00CC3261" w:rsidRPr="00DF2115">
        <w:rPr>
          <w:color w:val="auto"/>
        </w:rPr>
        <w:t>544</w:t>
      </w:r>
      <w:r w:rsidRPr="00DF2115">
        <w:rPr>
          <w:color w:val="auto"/>
        </w:rPr>
        <w:t>;</w:t>
      </w:r>
    </w:p>
    <w:p w:rsidR="009D0642" w:rsidRPr="00272890" w:rsidRDefault="00A30548">
      <w:pPr>
        <w:ind w:left="9" w:right="96"/>
        <w:rPr>
          <w:color w:val="auto"/>
        </w:rPr>
      </w:pPr>
      <w:r w:rsidRPr="00CC3261">
        <w:rPr>
          <w:color w:val="auto"/>
        </w:rPr>
        <w:t>в целях</w:t>
      </w:r>
      <w:r w:rsidRPr="003940C1">
        <w:rPr>
          <w:color w:val="auto"/>
        </w:rPr>
        <w:t xml:space="preserve"> снижения рисков нарушения антимонопольного законодательства утверждены карта рисков и план мероприятий по снижению рисков нарушения антимонопольного законодательства в деятельности администрации Пряжинского национального муниципального района, постановление администрации Пряжинского национального муниципального </w:t>
      </w:r>
      <w:r w:rsidRPr="00272890">
        <w:rPr>
          <w:color w:val="auto"/>
        </w:rPr>
        <w:t xml:space="preserve">района от </w:t>
      </w:r>
      <w:r w:rsidR="00991DC8" w:rsidRPr="00272890">
        <w:rPr>
          <w:color w:val="auto"/>
        </w:rPr>
        <w:t>30</w:t>
      </w:r>
      <w:r w:rsidR="00CC3261" w:rsidRPr="00272890">
        <w:rPr>
          <w:color w:val="auto"/>
        </w:rPr>
        <w:t xml:space="preserve"> декабря 202</w:t>
      </w:r>
      <w:r w:rsidR="00991DC8" w:rsidRPr="00272890">
        <w:rPr>
          <w:color w:val="auto"/>
        </w:rPr>
        <w:t>5</w:t>
      </w:r>
      <w:r w:rsidRPr="00272890">
        <w:rPr>
          <w:color w:val="auto"/>
        </w:rPr>
        <w:t xml:space="preserve"> года </w:t>
      </w:r>
      <w:r w:rsidR="007626B9" w:rsidRPr="00272890">
        <w:rPr>
          <w:color w:val="auto"/>
        </w:rPr>
        <w:t>№</w:t>
      </w:r>
      <w:r w:rsidRPr="00272890">
        <w:rPr>
          <w:color w:val="auto"/>
        </w:rPr>
        <w:t xml:space="preserve"> </w:t>
      </w:r>
      <w:r w:rsidR="00272890" w:rsidRPr="00272890">
        <w:rPr>
          <w:color w:val="auto"/>
        </w:rPr>
        <w:t>883</w:t>
      </w:r>
      <w:r w:rsidRPr="00272890">
        <w:rPr>
          <w:color w:val="auto"/>
        </w:rPr>
        <w:t>;</w:t>
      </w:r>
    </w:p>
    <w:p w:rsidR="00A30020" w:rsidRPr="00DF2115" w:rsidRDefault="00A30548">
      <w:pPr>
        <w:ind w:left="9" w:right="96"/>
        <w:rPr>
          <w:color w:val="auto"/>
        </w:rPr>
      </w:pPr>
      <w:r w:rsidRPr="00CC3261">
        <w:rPr>
          <w:color w:val="auto"/>
        </w:rPr>
        <w:t>утверж</w:t>
      </w:r>
      <w:r w:rsidRPr="003940C1">
        <w:rPr>
          <w:color w:val="auto"/>
        </w:rPr>
        <w:t xml:space="preserve">ден Перечень ключевых показателей эффективности функционирования антимонопольного комплаенса, постановление </w:t>
      </w:r>
      <w:r w:rsidRPr="003940C1">
        <w:rPr>
          <w:color w:val="auto"/>
        </w:rPr>
        <w:lastRenderedPageBreak/>
        <w:t xml:space="preserve">администрации Пряжинского национального муниципального района </w:t>
      </w:r>
      <w:r w:rsidRPr="00DF2115">
        <w:rPr>
          <w:color w:val="auto"/>
        </w:rPr>
        <w:t xml:space="preserve">от </w:t>
      </w:r>
      <w:r w:rsidR="00BA29EF">
        <w:rPr>
          <w:color w:val="auto"/>
        </w:rPr>
        <w:t>11</w:t>
      </w:r>
      <w:r w:rsidR="00CC3261" w:rsidRPr="00DF2115">
        <w:rPr>
          <w:color w:val="auto"/>
        </w:rPr>
        <w:t xml:space="preserve"> </w:t>
      </w:r>
      <w:r w:rsidR="00BA29EF">
        <w:rPr>
          <w:color w:val="auto"/>
        </w:rPr>
        <w:t>февраля</w:t>
      </w:r>
      <w:r w:rsidR="00CC3261" w:rsidRPr="00DF2115">
        <w:rPr>
          <w:color w:val="auto"/>
        </w:rPr>
        <w:t xml:space="preserve"> 202</w:t>
      </w:r>
      <w:r w:rsidR="00BA29EF">
        <w:rPr>
          <w:color w:val="auto"/>
        </w:rPr>
        <w:t>5</w:t>
      </w:r>
      <w:r w:rsidRPr="00DF2115">
        <w:rPr>
          <w:color w:val="auto"/>
        </w:rPr>
        <w:t xml:space="preserve"> года </w:t>
      </w:r>
      <w:r w:rsidR="009D0642" w:rsidRPr="00DF2115">
        <w:rPr>
          <w:color w:val="auto"/>
        </w:rPr>
        <w:t>№</w:t>
      </w:r>
      <w:r w:rsidRPr="00DF2115">
        <w:rPr>
          <w:color w:val="auto"/>
        </w:rPr>
        <w:t xml:space="preserve"> </w:t>
      </w:r>
      <w:r w:rsidR="00BA29EF">
        <w:rPr>
          <w:color w:val="auto"/>
        </w:rPr>
        <w:t>10</w:t>
      </w:r>
      <w:r w:rsidR="00CC3261" w:rsidRPr="00DF2115">
        <w:rPr>
          <w:color w:val="auto"/>
        </w:rPr>
        <w:t>5</w:t>
      </w:r>
      <w:r w:rsidRPr="00DF2115">
        <w:rPr>
          <w:color w:val="auto"/>
        </w:rPr>
        <w:t>.</w:t>
      </w:r>
    </w:p>
    <w:p w:rsidR="00A30020" w:rsidRPr="003940C1" w:rsidRDefault="00A30548">
      <w:pPr>
        <w:spacing w:after="0"/>
        <w:ind w:left="9" w:right="23"/>
        <w:rPr>
          <w:color w:val="auto"/>
        </w:rPr>
      </w:pPr>
      <w:r w:rsidRPr="003940C1">
        <w:rPr>
          <w:color w:val="auto"/>
        </w:rPr>
        <w:t>В целях выявления и исключения рис</w:t>
      </w:r>
      <w:r w:rsidR="0042740E">
        <w:rPr>
          <w:color w:val="auto"/>
        </w:rPr>
        <w:t>к</w:t>
      </w:r>
      <w:r w:rsidRPr="003940C1">
        <w:rPr>
          <w:color w:val="auto"/>
        </w:rPr>
        <w:t>ов нарушения антимонопольного законодательства нормативные правовые акты, принятые администрацией, размещены на официальном сайте администрации в сети «Интернет».</w:t>
      </w:r>
    </w:p>
    <w:p w:rsidR="00A30020" w:rsidRPr="003940C1" w:rsidRDefault="00A30548">
      <w:pPr>
        <w:ind w:left="9" w:right="23"/>
        <w:rPr>
          <w:color w:val="auto"/>
        </w:rPr>
      </w:pPr>
      <w:r w:rsidRPr="003940C1">
        <w:rPr>
          <w:color w:val="auto"/>
        </w:rPr>
        <w:t>В течение 202</w:t>
      </w:r>
      <w:r w:rsidR="00882B7A">
        <w:rPr>
          <w:color w:val="auto"/>
        </w:rPr>
        <w:t>5</w:t>
      </w:r>
      <w:r w:rsidRPr="003940C1">
        <w:rPr>
          <w:color w:val="auto"/>
        </w:rPr>
        <w:t xml:space="preserve"> года администрацией проводились следующие мероприятия:</w:t>
      </w:r>
    </w:p>
    <w:p w:rsidR="009D0642" w:rsidRPr="003940C1" w:rsidRDefault="00A30548" w:rsidP="009D0642">
      <w:pPr>
        <w:ind w:right="23" w:firstLine="851"/>
        <w:rPr>
          <w:color w:val="auto"/>
        </w:rPr>
      </w:pPr>
      <w:r w:rsidRPr="003940C1">
        <w:rPr>
          <w:color w:val="auto"/>
        </w:rPr>
        <w:t>оценка проектов нормативных правовых актов на предмет соответствия антимонопольному законодательству;</w:t>
      </w:r>
    </w:p>
    <w:p w:rsidR="00A30020" w:rsidRPr="003940C1" w:rsidRDefault="00A30548" w:rsidP="009D0642">
      <w:pPr>
        <w:ind w:right="23" w:firstLine="851"/>
        <w:rPr>
          <w:color w:val="auto"/>
        </w:rPr>
      </w:pPr>
      <w:r w:rsidRPr="003940C1">
        <w:rPr>
          <w:color w:val="auto"/>
        </w:rPr>
        <w:t>мониторинг законодательства Российской Федерации с целью своевременного внесения изменений в нормативные правовые акты администрации;</w:t>
      </w:r>
    </w:p>
    <w:p w:rsidR="009D0642" w:rsidRPr="003940C1" w:rsidRDefault="00A30548" w:rsidP="009D0642">
      <w:pPr>
        <w:ind w:left="86" w:right="23"/>
        <w:rPr>
          <w:color w:val="auto"/>
        </w:rPr>
      </w:pPr>
      <w:r w:rsidRPr="003940C1">
        <w:rPr>
          <w:color w:val="auto"/>
        </w:rPr>
        <w:t>Проведенный анализ рисков нарушения</w:t>
      </w:r>
      <w:r w:rsidRPr="003940C1">
        <w:rPr>
          <w:color w:val="auto"/>
        </w:rPr>
        <w:tab/>
        <w:t>антимонопольного законодательства показал следующее:</w:t>
      </w:r>
    </w:p>
    <w:p w:rsidR="009D0642" w:rsidRPr="003940C1" w:rsidRDefault="00A30548" w:rsidP="009D0642">
      <w:pPr>
        <w:ind w:left="86" w:right="23"/>
        <w:rPr>
          <w:color w:val="auto"/>
        </w:rPr>
      </w:pPr>
      <w:r w:rsidRPr="003940C1">
        <w:rPr>
          <w:color w:val="auto"/>
        </w:rPr>
        <w:t>нарушений антимонопольного законодательства в сфере закупок товаров, работ, услуг для муниципальных нужд не выявлено;</w:t>
      </w:r>
    </w:p>
    <w:p w:rsidR="009D0642" w:rsidRPr="003940C1" w:rsidRDefault="00A30548" w:rsidP="009D0642">
      <w:pPr>
        <w:ind w:left="86" w:right="23"/>
        <w:rPr>
          <w:color w:val="auto"/>
        </w:rPr>
      </w:pPr>
      <w:r w:rsidRPr="003940C1">
        <w:rPr>
          <w:color w:val="auto"/>
        </w:rPr>
        <w:t>фактов нарушения антимонопольного законодательства при разработке нормативных правовых актов не установлено;</w:t>
      </w:r>
    </w:p>
    <w:p w:rsidR="00A30020" w:rsidRPr="003940C1" w:rsidRDefault="00A30548" w:rsidP="009D0642">
      <w:pPr>
        <w:ind w:left="86" w:right="23"/>
        <w:rPr>
          <w:color w:val="auto"/>
        </w:rPr>
      </w:pPr>
      <w:r w:rsidRPr="003940C1">
        <w:rPr>
          <w:color w:val="auto"/>
        </w:rPr>
        <w:t>фактов</w:t>
      </w:r>
      <w:r w:rsidRPr="003940C1">
        <w:rPr>
          <w:color w:val="auto"/>
        </w:rPr>
        <w:tab/>
        <w:t>истребования</w:t>
      </w:r>
      <w:r w:rsidRPr="003940C1">
        <w:rPr>
          <w:color w:val="auto"/>
        </w:rPr>
        <w:tab/>
        <w:t>документов,</w:t>
      </w:r>
      <w:r w:rsidRPr="003940C1">
        <w:rPr>
          <w:color w:val="auto"/>
        </w:rPr>
        <w:tab/>
        <w:t xml:space="preserve">не </w:t>
      </w:r>
      <w:r w:rsidRPr="003940C1">
        <w:rPr>
          <w:color w:val="auto"/>
        </w:rPr>
        <w:tab/>
        <w:t>предусмотренных законодательством Российской федерации либо не соответствующих целям обращения не установлено.</w:t>
      </w:r>
    </w:p>
    <w:p w:rsidR="00A30020" w:rsidRPr="003940C1" w:rsidRDefault="00A30548">
      <w:pPr>
        <w:spacing w:after="0" w:line="259" w:lineRule="auto"/>
        <w:ind w:left="106" w:right="0" w:hanging="10"/>
        <w:jc w:val="center"/>
        <w:rPr>
          <w:b/>
          <w:color w:val="auto"/>
        </w:rPr>
      </w:pPr>
      <w:r w:rsidRPr="003940C1">
        <w:rPr>
          <w:b/>
          <w:color w:val="auto"/>
        </w:rPr>
        <w:t>Анализ нормативных правовых актов администрации</w:t>
      </w:r>
    </w:p>
    <w:p w:rsidR="00A30020" w:rsidRPr="003940C1" w:rsidRDefault="00A30548">
      <w:pPr>
        <w:spacing w:after="14" w:line="259" w:lineRule="auto"/>
        <w:ind w:left="10" w:right="-10" w:hanging="10"/>
        <w:jc w:val="right"/>
        <w:rPr>
          <w:color w:val="auto"/>
        </w:rPr>
      </w:pPr>
      <w:r w:rsidRPr="003940C1">
        <w:rPr>
          <w:color w:val="auto"/>
        </w:rPr>
        <w:t>В рамках реализации данного мероприятия администрацией разработан</w:t>
      </w:r>
    </w:p>
    <w:p w:rsidR="00A30020" w:rsidRPr="003940C1" w:rsidRDefault="00A30020">
      <w:pPr>
        <w:rPr>
          <w:color w:val="auto"/>
        </w:rPr>
        <w:sectPr w:rsidR="00A30020" w:rsidRPr="003940C1">
          <w:pgSz w:w="12240" w:h="16840"/>
          <w:pgMar w:top="1174" w:right="1056" w:bottom="1974" w:left="1723" w:header="720" w:footer="720" w:gutter="0"/>
          <w:cols w:space="720"/>
        </w:sectPr>
      </w:pPr>
    </w:p>
    <w:p w:rsidR="00A30020" w:rsidRPr="003940C1" w:rsidRDefault="00A30548">
      <w:pPr>
        <w:spacing w:after="0"/>
        <w:ind w:left="9" w:right="23" w:firstLine="5"/>
        <w:rPr>
          <w:color w:val="auto"/>
        </w:rPr>
      </w:pPr>
      <w:r w:rsidRPr="003940C1">
        <w:rPr>
          <w:color w:val="auto"/>
        </w:rPr>
        <w:t>перечень нормативных правовых актов администрации, обеспечено размещение данного перечня нормативных правовых актов администрации и текстов таких актов (за исключением актов, содержащих сведения, относящиеся к государственной тайне) на официальном сайте администрации района.</w:t>
      </w:r>
    </w:p>
    <w:p w:rsidR="00A30020" w:rsidRPr="003940C1" w:rsidRDefault="00A30548">
      <w:pPr>
        <w:ind w:left="9" w:right="23"/>
        <w:rPr>
          <w:color w:val="auto"/>
        </w:rPr>
      </w:pPr>
      <w:r w:rsidRPr="003940C1">
        <w:rPr>
          <w:color w:val="auto"/>
        </w:rPr>
        <w:t xml:space="preserve">В </w:t>
      </w:r>
      <w:r w:rsidR="009D0642" w:rsidRPr="003940C1">
        <w:rPr>
          <w:color w:val="auto"/>
        </w:rPr>
        <w:t>феврале</w:t>
      </w:r>
      <w:r w:rsidRPr="003940C1">
        <w:rPr>
          <w:color w:val="auto"/>
        </w:rPr>
        <w:t xml:space="preserve"> 202</w:t>
      </w:r>
      <w:r w:rsidR="00882B7A">
        <w:rPr>
          <w:color w:val="auto"/>
        </w:rPr>
        <w:t>6</w:t>
      </w:r>
      <w:r w:rsidRPr="003940C1">
        <w:rPr>
          <w:color w:val="auto"/>
        </w:rPr>
        <w:t xml:space="preserve"> года</w:t>
      </w:r>
      <w:r w:rsidR="009D0642" w:rsidRPr="003940C1">
        <w:rPr>
          <w:color w:val="auto"/>
        </w:rPr>
        <w:t xml:space="preserve"> </w:t>
      </w:r>
      <w:r w:rsidRPr="003940C1">
        <w:rPr>
          <w:color w:val="auto"/>
        </w:rPr>
        <w:t>проведена оценка функционирования антимонопольного комплаенса и достижения утвержденных ключевых показателей.</w:t>
      </w:r>
    </w:p>
    <w:p w:rsidR="00A30020" w:rsidRPr="003940C1" w:rsidRDefault="00A30548">
      <w:pPr>
        <w:ind w:left="715" w:right="23" w:firstLine="0"/>
        <w:rPr>
          <w:color w:val="auto"/>
        </w:rPr>
      </w:pPr>
      <w:r w:rsidRPr="003940C1">
        <w:rPr>
          <w:color w:val="auto"/>
        </w:rPr>
        <w:t>Целевые значения КПЭ за 202</w:t>
      </w:r>
      <w:r w:rsidR="00882B7A">
        <w:rPr>
          <w:color w:val="auto"/>
        </w:rPr>
        <w:t>5</w:t>
      </w:r>
      <w:r w:rsidRPr="003940C1">
        <w:rPr>
          <w:color w:val="auto"/>
        </w:rPr>
        <w:t xml:space="preserve"> год — 0 единиц.</w:t>
      </w:r>
    </w:p>
    <w:p w:rsidR="00A30020" w:rsidRPr="003940C1" w:rsidRDefault="00A30548">
      <w:pPr>
        <w:ind w:left="9" w:right="23"/>
        <w:rPr>
          <w:color w:val="auto"/>
        </w:rPr>
      </w:pPr>
      <w:r w:rsidRPr="003940C1">
        <w:rPr>
          <w:color w:val="auto"/>
        </w:rPr>
        <w:t>Оценка значений вышеуказанных КПЭ позволяет оценить эффективность мероприятий антимонопольного комплаенса администрации района по выявлению комплаенс-рисков, предусмотренных Картой рисков нарушений антимонопольного законодательства в деятельности администрации Пряжинского национального муниципального района и подведомственных учреждений.</w:t>
      </w:r>
    </w:p>
    <w:p w:rsidR="00A30020" w:rsidRPr="003940C1" w:rsidRDefault="00A30548">
      <w:pPr>
        <w:ind w:left="9" w:right="23"/>
        <w:rPr>
          <w:color w:val="auto"/>
        </w:rPr>
      </w:pPr>
      <w:r w:rsidRPr="003940C1">
        <w:rPr>
          <w:color w:val="auto"/>
        </w:rPr>
        <w:lastRenderedPageBreak/>
        <w:t>От эффективности работы по вопросам, касающимся соблюдения антимонопольного законодательства, организации и функционированию антимонопольного комплаенса администрации района, напрямую зависит возможность достижения КПЭ, определенных перечнем КПЭ.</w:t>
      </w:r>
    </w:p>
    <w:p w:rsidR="009D0642" w:rsidRPr="003940C1" w:rsidRDefault="00A30548" w:rsidP="009D0642">
      <w:pPr>
        <w:ind w:left="9" w:right="23"/>
        <w:rPr>
          <w:color w:val="auto"/>
        </w:rPr>
      </w:pPr>
      <w:r w:rsidRPr="003940C1">
        <w:rPr>
          <w:color w:val="auto"/>
        </w:rPr>
        <w:t xml:space="preserve">Мероприятия по внедрению системы антимонопольного комплаенса проходят в установленные сроки, должностные лица </w:t>
      </w:r>
      <w:r w:rsidR="0042740E">
        <w:rPr>
          <w:color w:val="auto"/>
        </w:rPr>
        <w:t>на постоянной основе</w:t>
      </w:r>
      <w:r w:rsidRPr="003940C1">
        <w:rPr>
          <w:color w:val="auto"/>
        </w:rPr>
        <w:t xml:space="preserve"> осваива</w:t>
      </w:r>
      <w:r w:rsidR="0042740E">
        <w:rPr>
          <w:color w:val="auto"/>
        </w:rPr>
        <w:t>ют</w:t>
      </w:r>
      <w:r w:rsidRPr="003940C1">
        <w:rPr>
          <w:color w:val="auto"/>
        </w:rPr>
        <w:t xml:space="preserve"> методику обеспечения соответствия требованиям антимонопольного законодательства.</w:t>
      </w:r>
    </w:p>
    <w:p w:rsidR="00A30020" w:rsidRPr="003940C1" w:rsidRDefault="009D0642" w:rsidP="009D0642">
      <w:pPr>
        <w:ind w:firstLine="0"/>
        <w:rPr>
          <w:color w:val="auto"/>
        </w:rPr>
      </w:pPr>
      <w:r w:rsidRPr="003940C1">
        <w:rPr>
          <w:color w:val="auto"/>
        </w:rPr>
        <w:tab/>
      </w:r>
      <w:r w:rsidR="00A30548" w:rsidRPr="003940C1">
        <w:rPr>
          <w:color w:val="auto"/>
        </w:rPr>
        <w:t>В 202</w:t>
      </w:r>
      <w:r w:rsidR="00882B7A">
        <w:rPr>
          <w:color w:val="auto"/>
        </w:rPr>
        <w:t>6</w:t>
      </w:r>
      <w:r w:rsidR="00A30548" w:rsidRPr="003940C1">
        <w:rPr>
          <w:color w:val="auto"/>
        </w:rPr>
        <w:t xml:space="preserve"> году работа в данном направлении также будет носить</w:t>
      </w:r>
      <w:r w:rsidRPr="003940C1">
        <w:rPr>
          <w:color w:val="auto"/>
        </w:rPr>
        <w:t xml:space="preserve"> с</w:t>
      </w:r>
      <w:r w:rsidR="00A30548" w:rsidRPr="003940C1">
        <w:rPr>
          <w:color w:val="auto"/>
        </w:rPr>
        <w:t>истемный характер.</w:t>
      </w:r>
    </w:p>
    <w:p w:rsidR="00DE2444" w:rsidRDefault="00DE2444">
      <w:pPr>
        <w:spacing w:after="0"/>
        <w:ind w:right="0" w:firstLine="0"/>
        <w:jc w:val="left"/>
        <w:rPr>
          <w:color w:val="auto"/>
          <w:sz w:val="26"/>
        </w:rPr>
      </w:pPr>
    </w:p>
    <w:p w:rsidR="00DE2444" w:rsidRDefault="00DE2444">
      <w:pPr>
        <w:spacing w:after="0"/>
        <w:ind w:right="0" w:firstLine="0"/>
        <w:jc w:val="left"/>
        <w:rPr>
          <w:color w:val="auto"/>
          <w:sz w:val="26"/>
        </w:rPr>
      </w:pPr>
    </w:p>
    <w:p w:rsidR="00DE2444" w:rsidRDefault="00DE2444">
      <w:pPr>
        <w:spacing w:after="0"/>
        <w:ind w:right="0" w:firstLine="0"/>
        <w:jc w:val="left"/>
        <w:rPr>
          <w:color w:val="auto"/>
          <w:sz w:val="26"/>
        </w:rPr>
      </w:pPr>
    </w:p>
    <w:p w:rsidR="009D0642" w:rsidRPr="003940C1" w:rsidRDefault="00DE2444">
      <w:pPr>
        <w:spacing w:after="0"/>
        <w:ind w:right="0" w:firstLine="0"/>
        <w:jc w:val="left"/>
        <w:rPr>
          <w:noProof/>
          <w:color w:val="auto"/>
        </w:rPr>
      </w:pPr>
      <w:r>
        <w:rPr>
          <w:color w:val="auto"/>
          <w:sz w:val="26"/>
        </w:rPr>
        <w:t>Н</w:t>
      </w:r>
      <w:r w:rsidR="009D0642" w:rsidRPr="003940C1">
        <w:rPr>
          <w:color w:val="auto"/>
          <w:sz w:val="26"/>
        </w:rPr>
        <w:t xml:space="preserve">ачальник </w:t>
      </w:r>
      <w:r w:rsidR="00A30548" w:rsidRPr="003940C1">
        <w:rPr>
          <w:color w:val="auto"/>
          <w:sz w:val="26"/>
        </w:rPr>
        <w:t xml:space="preserve">отдела </w:t>
      </w:r>
    </w:p>
    <w:p w:rsidR="009D0642" w:rsidRPr="003940C1" w:rsidRDefault="00CC3261">
      <w:pPr>
        <w:spacing w:after="0"/>
        <w:ind w:right="0" w:firstLine="0"/>
        <w:jc w:val="left"/>
        <w:rPr>
          <w:color w:val="auto"/>
          <w:sz w:val="26"/>
        </w:rPr>
      </w:pPr>
      <w:r>
        <w:rPr>
          <w:color w:val="auto"/>
          <w:sz w:val="26"/>
        </w:rPr>
        <w:t>социально-</w:t>
      </w:r>
      <w:r w:rsidR="00A30548" w:rsidRPr="003940C1">
        <w:rPr>
          <w:color w:val="auto"/>
          <w:sz w:val="26"/>
        </w:rPr>
        <w:t>экономического развития</w:t>
      </w:r>
    </w:p>
    <w:p w:rsidR="00A30020" w:rsidRPr="003940C1" w:rsidRDefault="00A30548">
      <w:pPr>
        <w:spacing w:after="0"/>
        <w:ind w:right="0" w:firstLine="0"/>
        <w:jc w:val="left"/>
        <w:rPr>
          <w:color w:val="auto"/>
        </w:rPr>
      </w:pPr>
      <w:r w:rsidRPr="003940C1">
        <w:rPr>
          <w:color w:val="auto"/>
          <w:sz w:val="26"/>
        </w:rPr>
        <w:t xml:space="preserve">и </w:t>
      </w:r>
      <w:r w:rsidR="00CC3261">
        <w:rPr>
          <w:color w:val="auto"/>
          <w:sz w:val="26"/>
        </w:rPr>
        <w:t xml:space="preserve">организации закупок                                                                      </w:t>
      </w:r>
      <w:r w:rsidR="00882B7A">
        <w:rPr>
          <w:color w:val="auto"/>
          <w:sz w:val="26"/>
        </w:rPr>
        <w:t>Н.</w:t>
      </w:r>
      <w:r w:rsidR="00B53222">
        <w:rPr>
          <w:color w:val="auto"/>
          <w:sz w:val="26"/>
        </w:rPr>
        <w:t xml:space="preserve"> </w:t>
      </w:r>
      <w:r w:rsidR="00882B7A">
        <w:rPr>
          <w:color w:val="auto"/>
          <w:sz w:val="26"/>
        </w:rPr>
        <w:t>П.</w:t>
      </w:r>
      <w:r w:rsidR="00B53222">
        <w:rPr>
          <w:color w:val="auto"/>
          <w:sz w:val="26"/>
        </w:rPr>
        <w:t xml:space="preserve"> </w:t>
      </w:r>
      <w:proofErr w:type="spellStart"/>
      <w:r w:rsidR="00882B7A">
        <w:rPr>
          <w:color w:val="auto"/>
          <w:sz w:val="26"/>
        </w:rPr>
        <w:t>Жигалкина</w:t>
      </w:r>
      <w:proofErr w:type="spellEnd"/>
    </w:p>
    <w:sectPr w:rsidR="00A30020" w:rsidRPr="003940C1" w:rsidSect="00DE2444">
      <w:type w:val="continuous"/>
      <w:pgSz w:w="12240" w:h="16840"/>
      <w:pgMar w:top="1208" w:right="1085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25pt;height:4.5pt;visibility:visible;mso-wrap-style:square" o:bullet="t">
        <v:imagedata r:id="rId1" o:title=""/>
      </v:shape>
    </w:pict>
  </w:numPicBullet>
  <w:abstractNum w:abstractNumId="0" w15:restartNumberingAfterBreak="0">
    <w:nsid w:val="05BE6879"/>
    <w:multiLevelType w:val="hybridMultilevel"/>
    <w:tmpl w:val="90E40DF8"/>
    <w:lvl w:ilvl="0" w:tplc="5776E6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7E9F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9658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3CCD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8E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0A93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0657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1621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A406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020"/>
    <w:rsid w:val="00204897"/>
    <w:rsid w:val="00272890"/>
    <w:rsid w:val="003940C1"/>
    <w:rsid w:val="0042740E"/>
    <w:rsid w:val="00466CB7"/>
    <w:rsid w:val="007626B9"/>
    <w:rsid w:val="00882B7A"/>
    <w:rsid w:val="00991DC8"/>
    <w:rsid w:val="009D0642"/>
    <w:rsid w:val="00A30020"/>
    <w:rsid w:val="00A30548"/>
    <w:rsid w:val="00A827AB"/>
    <w:rsid w:val="00B33CBE"/>
    <w:rsid w:val="00B53222"/>
    <w:rsid w:val="00B5348F"/>
    <w:rsid w:val="00BA29EF"/>
    <w:rsid w:val="00CC3261"/>
    <w:rsid w:val="00CC3AB3"/>
    <w:rsid w:val="00D95C66"/>
    <w:rsid w:val="00DE2444"/>
    <w:rsid w:val="00DF2115"/>
    <w:rsid w:val="00F3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9D3F"/>
  <w15:docId w15:val="{56136EB8-E986-465B-A3A3-6C0EE944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51" w:lineRule="auto"/>
      <w:ind w:right="106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642"/>
    <w:pPr>
      <w:ind w:left="720"/>
      <w:contextualSpacing/>
    </w:pPr>
  </w:style>
  <w:style w:type="table" w:styleId="a4">
    <w:name w:val="Table Grid"/>
    <w:basedOn w:val="a1"/>
    <w:uiPriority w:val="39"/>
    <w:rsid w:val="00394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cp:lastModifiedBy>economic2</cp:lastModifiedBy>
  <cp:revision>10</cp:revision>
  <cp:lastPrinted>2026-02-12T11:45:00Z</cp:lastPrinted>
  <dcterms:created xsi:type="dcterms:W3CDTF">2025-02-11T12:55:00Z</dcterms:created>
  <dcterms:modified xsi:type="dcterms:W3CDTF">2026-02-13T08:39:00Z</dcterms:modified>
</cp:coreProperties>
</file>